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3492" w14:textId="77777777" w:rsidR="00C16EAA" w:rsidRDefault="00000000">
      <w:pPr>
        <w:widowControl w:val="0"/>
        <w:pBdr>
          <w:top w:val="nil"/>
          <w:left w:val="nil"/>
          <w:bottom w:val="nil"/>
          <w:right w:val="nil"/>
          <w:between w:val="nil"/>
        </w:pBdr>
        <w:spacing w:line="288" w:lineRule="auto"/>
        <w:ind w:right="-194"/>
        <w:jc w:val="right"/>
        <w:rPr>
          <w:rFonts w:ascii="Aptos" w:eastAsia="Aptos" w:hAnsi="Aptos" w:cs="Aptos"/>
          <w:color w:val="000000"/>
        </w:rPr>
      </w:pPr>
      <w:r>
        <w:rPr>
          <w:rFonts w:ascii="Aptos" w:eastAsia="Aptos" w:hAnsi="Aptos" w:cs="Aptos"/>
          <w:noProof/>
          <w:color w:val="000000"/>
        </w:rPr>
        <w:drawing>
          <wp:inline distT="0" distB="0" distL="0" distR="0" wp14:anchorId="52A9B708" wp14:editId="53DF80A0">
            <wp:extent cx="1324431" cy="697069"/>
            <wp:effectExtent l="0" t="0" r="0" b="0"/>
            <wp:docPr id="17386510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24431" cy="697069"/>
                    </a:xfrm>
                    <a:prstGeom prst="rect">
                      <a:avLst/>
                    </a:prstGeom>
                    <a:ln/>
                  </pic:spPr>
                </pic:pic>
              </a:graphicData>
            </a:graphic>
          </wp:inline>
        </w:drawing>
      </w:r>
    </w:p>
    <w:p w14:paraId="779AA266" w14:textId="77777777" w:rsidR="00C16EAA" w:rsidRDefault="00000000">
      <w:pPr>
        <w:widowControl w:val="0"/>
        <w:pBdr>
          <w:top w:val="nil"/>
          <w:left w:val="nil"/>
          <w:bottom w:val="nil"/>
          <w:right w:val="nil"/>
          <w:between w:val="nil"/>
        </w:pBdr>
        <w:spacing w:line="288" w:lineRule="auto"/>
        <w:ind w:right="-489"/>
        <w:rPr>
          <w:rFonts w:ascii="Aptos" w:eastAsia="Aptos" w:hAnsi="Aptos" w:cs="Aptos"/>
          <w:b/>
          <w:bCs/>
          <w:color w:val="000000"/>
          <w:sz w:val="28"/>
          <w:szCs w:val="28"/>
        </w:rPr>
      </w:pPr>
      <w:r>
        <w:rPr>
          <w:rFonts w:ascii="Aptos" w:eastAsia="Aptos" w:hAnsi="Aptos" w:cs="Aptos"/>
          <w:b/>
          <w:bCs/>
          <w:color w:val="000000"/>
          <w:sz w:val="28"/>
          <w:szCs w:val="28"/>
        </w:rPr>
        <w:t>APEL Reflective Account Form (CAB)</w:t>
      </w:r>
    </w:p>
    <w:p w14:paraId="025514CD" w14:textId="77777777" w:rsidR="00C16EAA" w:rsidRDefault="00C16EAA">
      <w:pPr>
        <w:widowControl w:val="0"/>
        <w:pBdr>
          <w:top w:val="nil"/>
          <w:left w:val="nil"/>
          <w:bottom w:val="nil"/>
          <w:right w:val="nil"/>
          <w:between w:val="nil"/>
        </w:pBdr>
        <w:spacing w:line="288" w:lineRule="auto"/>
        <w:ind w:left="-709" w:right="-52"/>
        <w:rPr>
          <w:rFonts w:ascii="Aptos" w:eastAsia="Aptos" w:hAnsi="Aptos" w:cs="Aptos"/>
          <w:color w:val="000000"/>
          <w:sz w:val="22"/>
          <w:szCs w:val="22"/>
        </w:rPr>
      </w:pPr>
    </w:p>
    <w:p w14:paraId="150BA5C3"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Your Reflective Accounts are an opportunity to show how your previous learning and experience demonstrate the Knowledge &amp; Understanding (K&amp;U) required for the role of Clinical Animal Behaviourist.</w:t>
      </w:r>
    </w:p>
    <w:p w14:paraId="7AE2E089" w14:textId="77777777" w:rsidR="00C16EAA" w:rsidRDefault="00C16EAA">
      <w:pPr>
        <w:widowControl w:val="0"/>
        <w:spacing w:line="288" w:lineRule="auto"/>
        <w:rPr>
          <w:rFonts w:ascii="Aptos" w:eastAsia="Aptos" w:hAnsi="Aptos" w:cs="Aptos"/>
          <w:sz w:val="22"/>
          <w:szCs w:val="22"/>
        </w:rPr>
      </w:pPr>
    </w:p>
    <w:p w14:paraId="6CCCEF8A"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 xml:space="preserve">You must address all of the K&amp;U statements relevant to each section.  You can find the individual K&amp;U statements in the </w:t>
      </w:r>
      <w:hyperlink r:id="rId9">
        <w:r>
          <w:rPr>
            <w:rFonts w:ascii="Aptos" w:eastAsia="Aptos" w:hAnsi="Aptos" w:cs="Aptos"/>
            <w:color w:val="1155CC"/>
            <w:sz w:val="22"/>
            <w:szCs w:val="22"/>
            <w:u w:val="single"/>
          </w:rPr>
          <w:t>CAB Role Standards</w:t>
        </w:r>
      </w:hyperlink>
      <w:r>
        <w:rPr>
          <w:rFonts w:ascii="Aptos" w:eastAsia="Aptos" w:hAnsi="Aptos" w:cs="Aptos"/>
          <w:sz w:val="22"/>
          <w:szCs w:val="22"/>
        </w:rPr>
        <w:t xml:space="preserve"> and in the appendix at the end of this form. </w:t>
      </w:r>
    </w:p>
    <w:p w14:paraId="0D0E6012" w14:textId="77777777" w:rsidR="00C16EAA" w:rsidRDefault="00C16EAA">
      <w:pPr>
        <w:widowControl w:val="0"/>
        <w:spacing w:line="288" w:lineRule="auto"/>
        <w:rPr>
          <w:rFonts w:ascii="Aptos" w:eastAsia="Aptos" w:hAnsi="Aptos" w:cs="Aptos"/>
          <w:sz w:val="22"/>
          <w:szCs w:val="22"/>
        </w:rPr>
      </w:pPr>
    </w:p>
    <w:p w14:paraId="7B884B68"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For further guidance on completing your Reflective Accounts, please refer to the APEL Guidelines for Applicants document, particularly:</w:t>
      </w:r>
    </w:p>
    <w:p w14:paraId="36C1CFD0" w14:textId="77777777" w:rsidR="00C16EAA" w:rsidRDefault="00000000">
      <w:pPr>
        <w:widowControl w:val="0"/>
        <w:numPr>
          <w:ilvl w:val="0"/>
          <w:numId w:val="2"/>
        </w:numPr>
        <w:spacing w:line="288" w:lineRule="auto"/>
        <w:rPr>
          <w:rFonts w:ascii="Aptos" w:eastAsia="Aptos" w:hAnsi="Aptos" w:cs="Aptos"/>
          <w:sz w:val="22"/>
          <w:szCs w:val="22"/>
        </w:rPr>
      </w:pPr>
      <w:r>
        <w:rPr>
          <w:rFonts w:ascii="Aptos" w:eastAsia="Aptos" w:hAnsi="Aptos" w:cs="Aptos"/>
          <w:sz w:val="22"/>
          <w:szCs w:val="22"/>
        </w:rPr>
        <w:t>Section 6 - K&amp;U Levels</w:t>
      </w:r>
    </w:p>
    <w:p w14:paraId="444E424B" w14:textId="77777777" w:rsidR="00C16EAA" w:rsidRDefault="00000000">
      <w:pPr>
        <w:widowControl w:val="0"/>
        <w:numPr>
          <w:ilvl w:val="0"/>
          <w:numId w:val="2"/>
        </w:numPr>
        <w:spacing w:line="288" w:lineRule="auto"/>
        <w:rPr>
          <w:rFonts w:ascii="Aptos" w:eastAsia="Aptos" w:hAnsi="Aptos" w:cs="Aptos"/>
          <w:sz w:val="22"/>
          <w:szCs w:val="22"/>
        </w:rPr>
      </w:pPr>
      <w:r>
        <w:rPr>
          <w:rFonts w:ascii="Aptos" w:eastAsia="Aptos" w:hAnsi="Aptos" w:cs="Aptos"/>
          <w:sz w:val="22"/>
          <w:szCs w:val="22"/>
        </w:rPr>
        <w:t>Section 8.4.4 - Reflective Account forms</w:t>
      </w:r>
    </w:p>
    <w:p w14:paraId="09520806" w14:textId="77777777" w:rsidR="00C16EAA" w:rsidRDefault="00000000">
      <w:pPr>
        <w:widowControl w:val="0"/>
        <w:numPr>
          <w:ilvl w:val="0"/>
          <w:numId w:val="2"/>
        </w:numPr>
        <w:spacing w:line="288" w:lineRule="auto"/>
        <w:rPr>
          <w:rFonts w:ascii="Aptos" w:eastAsia="Aptos" w:hAnsi="Aptos" w:cs="Aptos"/>
          <w:sz w:val="22"/>
          <w:szCs w:val="22"/>
        </w:rPr>
      </w:pPr>
      <w:r>
        <w:rPr>
          <w:rFonts w:ascii="Aptos" w:eastAsia="Aptos" w:hAnsi="Aptos" w:cs="Aptos"/>
          <w:sz w:val="22"/>
          <w:szCs w:val="22"/>
        </w:rPr>
        <w:t>Section 8.4.5.2 - Illustrative cases and scenarios</w:t>
      </w:r>
    </w:p>
    <w:p w14:paraId="2B0A7A50" w14:textId="77777777" w:rsidR="00C16EAA" w:rsidRDefault="00C16EAA">
      <w:pPr>
        <w:widowControl w:val="0"/>
        <w:pBdr>
          <w:top w:val="nil"/>
          <w:left w:val="nil"/>
          <w:bottom w:val="nil"/>
          <w:right w:val="nil"/>
          <w:between w:val="nil"/>
        </w:pBdr>
        <w:spacing w:line="288" w:lineRule="auto"/>
        <w:jc w:val="both"/>
        <w:rPr>
          <w:rFonts w:ascii="Aptos" w:eastAsia="Aptos" w:hAnsi="Aptos" w:cs="Aptos"/>
          <w:sz w:val="22"/>
          <w:szCs w:val="22"/>
        </w:rPr>
      </w:pPr>
    </w:p>
    <w:p w14:paraId="4C032860"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Please complete one Reflective Account form for each K&amp;U section.</w:t>
      </w:r>
    </w:p>
    <w:p w14:paraId="3030D87F" w14:textId="77777777" w:rsidR="00C16EAA" w:rsidRDefault="00C16EAA">
      <w:pPr>
        <w:widowControl w:val="0"/>
        <w:pBdr>
          <w:top w:val="nil"/>
          <w:left w:val="nil"/>
          <w:bottom w:val="nil"/>
          <w:right w:val="nil"/>
          <w:between w:val="nil"/>
        </w:pBdr>
        <w:spacing w:line="288" w:lineRule="auto"/>
        <w:jc w:val="both"/>
        <w:rPr>
          <w:rFonts w:ascii="Aptos" w:eastAsia="Aptos" w:hAnsi="Aptos" w:cs="Aptos"/>
          <w:color w:val="000000"/>
          <w:sz w:val="22"/>
          <w:szCs w:val="22"/>
        </w:rPr>
      </w:pPr>
    </w:p>
    <w:tbl>
      <w:tblPr>
        <w:tblStyle w:val="a1"/>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C16EAA" w14:paraId="3D804EB1" w14:textId="77777777">
        <w:tc>
          <w:tcPr>
            <w:tcW w:w="9209" w:type="dxa"/>
          </w:tcPr>
          <w:p w14:paraId="5CEE5002" w14:textId="77777777" w:rsidR="00C16EAA" w:rsidRDefault="00000000">
            <w:pPr>
              <w:widowControl w:val="0"/>
              <w:pBdr>
                <w:top w:val="nil"/>
                <w:left w:val="nil"/>
                <w:bottom w:val="nil"/>
                <w:right w:val="nil"/>
                <w:between w:val="nil"/>
              </w:pBdr>
              <w:spacing w:line="288" w:lineRule="auto"/>
              <w:jc w:val="center"/>
              <w:rPr>
                <w:rFonts w:ascii="Aptos" w:eastAsia="Aptos" w:hAnsi="Aptos" w:cs="Aptos"/>
                <w:b/>
                <w:bCs/>
                <w:color w:val="000000"/>
                <w:sz w:val="22"/>
                <w:szCs w:val="22"/>
              </w:rPr>
            </w:pPr>
            <w:r>
              <w:rPr>
                <w:rFonts w:ascii="Aptos" w:eastAsia="Aptos" w:hAnsi="Aptos" w:cs="Aptos"/>
                <w:b/>
                <w:bCs/>
                <w:color w:val="000000"/>
                <w:sz w:val="22"/>
                <w:szCs w:val="22"/>
              </w:rPr>
              <w:t>Clinical Animal Behaviourist (CAB)</w:t>
            </w:r>
          </w:p>
        </w:tc>
      </w:tr>
      <w:tr w:rsidR="00C16EAA" w14:paraId="0788A285" w14:textId="77777777">
        <w:tc>
          <w:tcPr>
            <w:tcW w:w="9209" w:type="dxa"/>
          </w:tcPr>
          <w:p w14:paraId="7E57C0B4"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Behaviour</w:t>
            </w:r>
          </w:p>
        </w:tc>
      </w:tr>
      <w:tr w:rsidR="00C16EAA" w14:paraId="74E6F6C3" w14:textId="77777777">
        <w:tc>
          <w:tcPr>
            <w:tcW w:w="9209" w:type="dxa"/>
          </w:tcPr>
          <w:p w14:paraId="1FCF75CD"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Health and Welfare</w:t>
            </w:r>
          </w:p>
        </w:tc>
      </w:tr>
      <w:tr w:rsidR="00C16EAA" w14:paraId="12692E6C" w14:textId="77777777">
        <w:tc>
          <w:tcPr>
            <w:tcW w:w="9209" w:type="dxa"/>
          </w:tcPr>
          <w:p w14:paraId="5B958702"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Animal Learning and Training</w:t>
            </w:r>
          </w:p>
        </w:tc>
      </w:tr>
      <w:tr w:rsidR="00C16EAA" w14:paraId="2CA62551" w14:textId="77777777">
        <w:tc>
          <w:tcPr>
            <w:tcW w:w="9209" w:type="dxa"/>
          </w:tcPr>
          <w:p w14:paraId="68269EC7"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The Interaction between Health and Behaviour</w:t>
            </w:r>
          </w:p>
        </w:tc>
      </w:tr>
      <w:tr w:rsidR="00C16EAA" w14:paraId="7763C793" w14:textId="77777777">
        <w:tc>
          <w:tcPr>
            <w:tcW w:w="9209" w:type="dxa"/>
          </w:tcPr>
          <w:p w14:paraId="7CF252EA"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Clinical Procedures</w:t>
            </w:r>
          </w:p>
        </w:tc>
      </w:tr>
      <w:tr w:rsidR="00C16EAA" w14:paraId="0B4F08DE" w14:textId="77777777">
        <w:tc>
          <w:tcPr>
            <w:tcW w:w="9209" w:type="dxa"/>
          </w:tcPr>
          <w:p w14:paraId="49EC5A3F"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Law and Ethics</w:t>
            </w:r>
          </w:p>
        </w:tc>
      </w:tr>
      <w:tr w:rsidR="00C16EAA" w14:paraId="00C34F34" w14:textId="77777777">
        <w:tc>
          <w:tcPr>
            <w:tcW w:w="9209" w:type="dxa"/>
          </w:tcPr>
          <w:p w14:paraId="7213E84A" w14:textId="77777777" w:rsidR="00C16EAA" w:rsidRDefault="00000000">
            <w:pPr>
              <w:widowControl w:val="0"/>
              <w:numPr>
                <w:ilvl w:val="0"/>
                <w:numId w:val="1"/>
              </w:numPr>
              <w:pBdr>
                <w:top w:val="nil"/>
                <w:left w:val="nil"/>
                <w:bottom w:val="nil"/>
                <w:right w:val="nil"/>
                <w:between w:val="nil"/>
              </w:pBdr>
              <w:spacing w:line="288" w:lineRule="auto"/>
              <w:jc w:val="both"/>
              <w:rPr>
                <w:rFonts w:ascii="Aptos" w:eastAsia="Aptos" w:hAnsi="Aptos" w:cs="Aptos"/>
                <w:color w:val="000000"/>
                <w:sz w:val="22"/>
                <w:szCs w:val="22"/>
              </w:rPr>
            </w:pPr>
            <w:r>
              <w:rPr>
                <w:rFonts w:ascii="Aptos" w:eastAsia="Aptos" w:hAnsi="Aptos" w:cs="Aptos"/>
                <w:color w:val="000000"/>
                <w:sz w:val="22"/>
                <w:szCs w:val="22"/>
              </w:rPr>
              <w:t>Critical Analysis and Research</w:t>
            </w:r>
          </w:p>
        </w:tc>
      </w:tr>
    </w:tbl>
    <w:p w14:paraId="5FC23C28" w14:textId="77777777" w:rsidR="00C16EAA" w:rsidRDefault="00C16EAA">
      <w:pPr>
        <w:widowControl w:val="0"/>
        <w:pBdr>
          <w:top w:val="nil"/>
          <w:left w:val="nil"/>
          <w:bottom w:val="nil"/>
          <w:right w:val="nil"/>
          <w:between w:val="nil"/>
        </w:pBdr>
        <w:spacing w:line="288" w:lineRule="auto"/>
        <w:jc w:val="both"/>
        <w:rPr>
          <w:rFonts w:ascii="Aptos" w:eastAsia="Aptos" w:hAnsi="Aptos" w:cs="Aptos"/>
          <w:color w:val="000000"/>
          <w:sz w:val="22"/>
          <w:szCs w:val="22"/>
        </w:rPr>
      </w:pPr>
    </w:p>
    <w:p w14:paraId="398AA233" w14:textId="77777777" w:rsidR="00C16EAA" w:rsidRDefault="00000000">
      <w:pPr>
        <w:widowControl w:val="0"/>
        <w:spacing w:line="288" w:lineRule="auto"/>
        <w:jc w:val="both"/>
        <w:rPr>
          <w:rFonts w:ascii="Aptos" w:eastAsia="Aptos" w:hAnsi="Aptos" w:cs="Aptos"/>
          <w:b/>
          <w:bCs/>
          <w:sz w:val="22"/>
          <w:szCs w:val="22"/>
        </w:rPr>
      </w:pPr>
      <w:r>
        <w:rPr>
          <w:rFonts w:ascii="Aptos" w:eastAsia="Aptos" w:hAnsi="Aptos" w:cs="Aptos"/>
          <w:b/>
          <w:bCs/>
          <w:sz w:val="22"/>
          <w:szCs w:val="22"/>
        </w:rPr>
        <w:t>Important information</w:t>
      </w:r>
    </w:p>
    <w:p w14:paraId="167D5167" w14:textId="77777777" w:rsidR="00C16EAA" w:rsidRDefault="00C16EAA">
      <w:pPr>
        <w:widowControl w:val="0"/>
        <w:spacing w:line="288" w:lineRule="auto"/>
        <w:rPr>
          <w:rFonts w:ascii="Aptos" w:eastAsia="Aptos" w:hAnsi="Aptos" w:cs="Aptos"/>
          <w:sz w:val="22"/>
          <w:szCs w:val="22"/>
        </w:rPr>
      </w:pPr>
    </w:p>
    <w:p w14:paraId="60A88BD9"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 xml:space="preserve">All case examples and supporting evidence must be fully anonymised.  Do not include any information that could identify a client, service user, colleague or other individual. </w:t>
      </w:r>
    </w:p>
    <w:p w14:paraId="3D09DCD9" w14:textId="77777777" w:rsidR="00C16EAA" w:rsidRDefault="00C16EAA">
      <w:pPr>
        <w:widowControl w:val="0"/>
        <w:spacing w:line="288" w:lineRule="auto"/>
        <w:rPr>
          <w:rFonts w:ascii="Aptos" w:eastAsia="Aptos" w:hAnsi="Aptos" w:cs="Aptos"/>
          <w:sz w:val="22"/>
          <w:szCs w:val="22"/>
        </w:rPr>
      </w:pPr>
    </w:p>
    <w:p w14:paraId="3E6A4294" w14:textId="77777777" w:rsidR="00C16EAA" w:rsidRDefault="00000000">
      <w:pPr>
        <w:widowControl w:val="0"/>
        <w:spacing w:line="288" w:lineRule="auto"/>
        <w:rPr>
          <w:rFonts w:ascii="Aptos" w:eastAsia="Aptos" w:hAnsi="Aptos" w:cs="Aptos"/>
          <w:sz w:val="22"/>
          <w:szCs w:val="22"/>
        </w:rPr>
      </w:pPr>
      <w:r>
        <w:rPr>
          <w:rFonts w:ascii="Aptos" w:eastAsia="Aptos" w:hAnsi="Aptos" w:cs="Aptos"/>
          <w:sz w:val="22"/>
          <w:szCs w:val="22"/>
        </w:rPr>
        <w:t>You may provide additional supporting documents, such as illustrative cases or scenarios (please see section 8.4.5.2 of the APEl guidelines for applicants document).  If you refer to a supporting document in your Reflective Account, please clearly identify the document so that your Assessors can find the relevant evidence.</w:t>
      </w:r>
    </w:p>
    <w:p w14:paraId="0D890820" w14:textId="77777777" w:rsidR="00C16EAA" w:rsidRDefault="00C16EAA">
      <w:pPr>
        <w:widowControl w:val="0"/>
        <w:spacing w:line="288" w:lineRule="auto"/>
        <w:rPr>
          <w:rFonts w:ascii="Aptos" w:eastAsia="Aptos" w:hAnsi="Aptos" w:cs="Aptos"/>
          <w:sz w:val="22"/>
          <w:szCs w:val="22"/>
        </w:rPr>
      </w:pPr>
    </w:p>
    <w:p w14:paraId="5D097DBA" w14:textId="77777777" w:rsidR="00C16EAA" w:rsidRDefault="00000000">
      <w:pPr>
        <w:widowControl w:val="0"/>
        <w:spacing w:line="288" w:lineRule="auto"/>
        <w:rPr>
          <w:rFonts w:ascii="Calibri" w:eastAsia="Calibri" w:hAnsi="Calibri" w:cs="Calibri"/>
          <w:color w:val="000000"/>
          <w:sz w:val="22"/>
          <w:szCs w:val="22"/>
        </w:rPr>
      </w:pPr>
      <w:r>
        <w:rPr>
          <w:rFonts w:ascii="Aptos" w:eastAsia="Aptos" w:hAnsi="Aptos" w:cs="Aptos"/>
          <w:sz w:val="22"/>
          <w:szCs w:val="22"/>
        </w:rPr>
        <w:t xml:space="preserve">Your examples may sometimes demonstrate K&amp;U from another section.  Where this happens, </w:t>
      </w:r>
      <w:r>
        <w:rPr>
          <w:rFonts w:ascii="Aptos" w:eastAsia="Aptos" w:hAnsi="Aptos" w:cs="Aptos"/>
          <w:sz w:val="22"/>
          <w:szCs w:val="22"/>
        </w:rPr>
        <w:lastRenderedPageBreak/>
        <w:t>please include the relevant K&amp;U number in brackets so your Assessors can easily identify it, for example (K&amp;U12).</w:t>
      </w:r>
    </w:p>
    <w:tbl>
      <w:tblPr>
        <w:tblStyle w:val="a2"/>
        <w:tblW w:w="8917" w:type="dxa"/>
        <w:tblInd w:w="10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4458"/>
        <w:gridCol w:w="4459"/>
      </w:tblGrid>
      <w:tr w:rsidR="00C16EAA" w14:paraId="58CB9D44" w14:textId="77777777">
        <w:trPr>
          <w:trHeight w:val="466"/>
        </w:trPr>
        <w:tc>
          <w:tcPr>
            <w:tcW w:w="8916" w:type="dxa"/>
            <w:gridSpan w:val="2"/>
            <w:tcMar>
              <w:top w:w="113" w:type="dxa"/>
              <w:bottom w:w="113" w:type="dxa"/>
              <w:right w:w="567" w:type="dxa"/>
            </w:tcMar>
            <w:vAlign w:val="center"/>
          </w:tcPr>
          <w:p w14:paraId="50293B0F" w14:textId="77777777" w:rsidR="00C16EAA" w:rsidRDefault="00000000">
            <w:pPr>
              <w:widowControl w:val="0"/>
              <w:pBdr>
                <w:top w:val="nil"/>
                <w:left w:val="nil"/>
                <w:bottom w:val="nil"/>
                <w:right w:val="nil"/>
                <w:between w:val="nil"/>
              </w:pBdr>
              <w:spacing w:line="288" w:lineRule="auto"/>
              <w:ind w:right="-567"/>
              <w:rPr>
                <w:rFonts w:ascii="Aptos" w:eastAsia="Aptos" w:hAnsi="Aptos" w:cs="Aptos"/>
                <w:b/>
                <w:bCs/>
                <w:color w:val="000000"/>
              </w:rPr>
            </w:pPr>
            <w:r>
              <w:rPr>
                <w:rFonts w:ascii="Aptos" w:eastAsia="Aptos" w:hAnsi="Aptos" w:cs="Aptos"/>
                <w:b/>
                <w:bCs/>
                <w:color w:val="000000"/>
              </w:rPr>
              <w:t>Applicant Name:</w:t>
            </w:r>
          </w:p>
        </w:tc>
      </w:tr>
      <w:tr w:rsidR="00C16EAA" w14:paraId="0F7B025D" w14:textId="77777777">
        <w:trPr>
          <w:trHeight w:val="466"/>
        </w:trPr>
        <w:tc>
          <w:tcPr>
            <w:tcW w:w="8916" w:type="dxa"/>
            <w:gridSpan w:val="2"/>
            <w:tcMar>
              <w:top w:w="113" w:type="dxa"/>
              <w:bottom w:w="113" w:type="dxa"/>
              <w:right w:w="567" w:type="dxa"/>
            </w:tcMar>
            <w:vAlign w:val="center"/>
          </w:tcPr>
          <w:p w14:paraId="165D2C59" w14:textId="77777777" w:rsidR="00C16EAA" w:rsidRDefault="00000000">
            <w:pPr>
              <w:widowControl w:val="0"/>
              <w:pBdr>
                <w:top w:val="nil"/>
                <w:left w:val="nil"/>
                <w:bottom w:val="nil"/>
                <w:right w:val="nil"/>
                <w:between w:val="nil"/>
              </w:pBdr>
              <w:spacing w:line="288" w:lineRule="auto"/>
              <w:ind w:right="-567"/>
              <w:rPr>
                <w:rFonts w:ascii="Aptos" w:eastAsia="Aptos" w:hAnsi="Aptos" w:cs="Aptos"/>
                <w:color w:val="000000"/>
              </w:rPr>
            </w:pPr>
            <w:r>
              <w:rPr>
                <w:rFonts w:ascii="Aptos" w:eastAsia="Aptos" w:hAnsi="Aptos" w:cs="Aptos"/>
                <w:b/>
                <w:bCs/>
                <w:color w:val="000000"/>
              </w:rPr>
              <w:t xml:space="preserve">Knowledge &amp; Understanding Section: </w:t>
            </w:r>
            <w:r>
              <w:rPr>
                <w:rFonts w:ascii="Aptos" w:eastAsia="Aptos" w:hAnsi="Aptos" w:cs="Aptos"/>
                <w:b/>
                <w:bCs/>
                <w:color w:val="000000"/>
              </w:rPr>
              <w:br/>
            </w:r>
            <w:r>
              <w:rPr>
                <w:rFonts w:ascii="Aptos" w:eastAsia="Aptos" w:hAnsi="Aptos" w:cs="Aptos"/>
                <w:i/>
                <w:iCs/>
                <w:sz w:val="20"/>
                <w:szCs w:val="20"/>
              </w:rPr>
              <w:t>eg</w:t>
            </w:r>
            <w:r>
              <w:rPr>
                <w:rFonts w:ascii="Aptos" w:eastAsia="Aptos" w:hAnsi="Aptos" w:cs="Aptos"/>
                <w:i/>
                <w:iCs/>
                <w:color w:val="000000"/>
                <w:sz w:val="20"/>
                <w:szCs w:val="20"/>
              </w:rPr>
              <w:t xml:space="preserve"> Section 1 - Animal Behaviour</w:t>
            </w:r>
          </w:p>
        </w:tc>
      </w:tr>
      <w:tr w:rsidR="00C16EAA" w14:paraId="2604A765" w14:textId="77777777">
        <w:trPr>
          <w:trHeight w:val="466"/>
        </w:trPr>
        <w:tc>
          <w:tcPr>
            <w:tcW w:w="8916" w:type="dxa"/>
            <w:gridSpan w:val="2"/>
            <w:tcMar>
              <w:top w:w="113" w:type="dxa"/>
              <w:bottom w:w="113" w:type="dxa"/>
              <w:right w:w="567" w:type="dxa"/>
            </w:tcMar>
            <w:vAlign w:val="center"/>
          </w:tcPr>
          <w:p w14:paraId="7D166DD1" w14:textId="77777777" w:rsidR="00C16EAA" w:rsidRDefault="00000000">
            <w:pPr>
              <w:widowControl w:val="0"/>
              <w:pBdr>
                <w:top w:val="nil"/>
                <w:left w:val="nil"/>
                <w:bottom w:val="nil"/>
                <w:right w:val="nil"/>
                <w:between w:val="nil"/>
              </w:pBdr>
              <w:spacing w:line="288" w:lineRule="auto"/>
              <w:ind w:right="-426"/>
              <w:rPr>
                <w:rFonts w:ascii="Aptos" w:eastAsia="Aptos" w:hAnsi="Aptos" w:cs="Aptos"/>
                <w:b/>
                <w:bCs/>
                <w:color w:val="000000"/>
              </w:rPr>
            </w:pPr>
            <w:r>
              <w:rPr>
                <w:rFonts w:ascii="Aptos" w:eastAsia="Aptos" w:hAnsi="Aptos" w:cs="Aptos"/>
                <w:b/>
                <w:bCs/>
                <w:color w:val="000000"/>
              </w:rPr>
              <w:t xml:space="preserve">Explain how </w:t>
            </w:r>
            <w:proofErr w:type="gramStart"/>
            <w:r>
              <w:rPr>
                <w:rFonts w:ascii="Aptos" w:eastAsia="Aptos" w:hAnsi="Aptos" w:cs="Aptos"/>
                <w:b/>
                <w:bCs/>
                <w:color w:val="000000"/>
              </w:rPr>
              <w:t>your</w:t>
            </w:r>
            <w:proofErr w:type="gramEnd"/>
            <w:r>
              <w:rPr>
                <w:rFonts w:ascii="Aptos" w:eastAsia="Aptos" w:hAnsi="Aptos" w:cs="Aptos"/>
                <w:b/>
                <w:bCs/>
                <w:color w:val="000000"/>
              </w:rPr>
              <w:t xml:space="preserve"> learning and/or experience is relevant to the CAB role, and as such, meets the K&amp;U for this section.</w:t>
            </w:r>
          </w:p>
          <w:p w14:paraId="607FE86E" w14:textId="77777777" w:rsidR="00C16EAA" w:rsidRDefault="00000000">
            <w:pPr>
              <w:widowControl w:val="0"/>
              <w:pBdr>
                <w:top w:val="nil"/>
                <w:left w:val="nil"/>
                <w:bottom w:val="nil"/>
                <w:right w:val="nil"/>
                <w:between w:val="nil"/>
              </w:pBdr>
              <w:spacing w:line="288" w:lineRule="auto"/>
              <w:ind w:right="-426"/>
              <w:rPr>
                <w:rFonts w:ascii="Aptos" w:eastAsia="Aptos" w:hAnsi="Aptos" w:cs="Aptos"/>
                <w:color w:val="000000"/>
              </w:rPr>
            </w:pPr>
            <w:r>
              <w:rPr>
                <w:rFonts w:ascii="Aptos" w:eastAsia="Aptos" w:hAnsi="Aptos" w:cs="Aptos"/>
                <w:i/>
                <w:iCs/>
                <w:color w:val="000000"/>
                <w:sz w:val="20"/>
                <w:szCs w:val="20"/>
              </w:rPr>
              <w:t xml:space="preserve">The purpose of the reflective account is to show us how you are able to draw on all your knowledge and understanding for each section, referring to a variety of species. Within this you should consider and critically evaluate different ideas and theories, showing us </w:t>
            </w:r>
            <w:r>
              <w:rPr>
                <w:rFonts w:ascii="Aptos" w:eastAsia="Aptos" w:hAnsi="Aptos" w:cs="Aptos"/>
                <w:b/>
                <w:bCs/>
                <w:i/>
                <w:iCs/>
                <w:color w:val="000000"/>
                <w:sz w:val="20"/>
                <w:szCs w:val="20"/>
                <w:u w:val="single"/>
              </w:rPr>
              <w:t>how and why</w:t>
            </w:r>
            <w:r>
              <w:rPr>
                <w:rFonts w:ascii="Aptos" w:eastAsia="Aptos" w:hAnsi="Aptos" w:cs="Aptos"/>
                <w:i/>
                <w:iCs/>
                <w:color w:val="000000"/>
                <w:sz w:val="20"/>
                <w:szCs w:val="20"/>
              </w:rPr>
              <w:t xml:space="preserve"> you have selected these to demonstrate </w:t>
            </w:r>
            <w:r>
              <w:rPr>
                <w:rFonts w:ascii="Aptos" w:eastAsia="Aptos" w:hAnsi="Aptos" w:cs="Aptos"/>
                <w:b/>
                <w:bCs/>
                <w:i/>
                <w:iCs/>
                <w:color w:val="000000"/>
                <w:sz w:val="20"/>
                <w:szCs w:val="20"/>
                <w:u w:val="single"/>
              </w:rPr>
              <w:t>how and why</w:t>
            </w:r>
            <w:r>
              <w:rPr>
                <w:rFonts w:ascii="Aptos" w:eastAsia="Aptos" w:hAnsi="Aptos" w:cs="Aptos"/>
                <w:i/>
                <w:iCs/>
                <w:color w:val="000000"/>
                <w:sz w:val="20"/>
                <w:szCs w:val="20"/>
              </w:rPr>
              <w:t xml:space="preserve"> you might address a specific problem in a specific way.</w:t>
            </w:r>
          </w:p>
        </w:tc>
      </w:tr>
      <w:tr w:rsidR="00C16EAA" w14:paraId="33F3EDDE" w14:textId="77777777">
        <w:trPr>
          <w:trHeight w:val="466"/>
        </w:trPr>
        <w:tc>
          <w:tcPr>
            <w:tcW w:w="8916" w:type="dxa"/>
            <w:gridSpan w:val="2"/>
            <w:tcMar>
              <w:top w:w="113" w:type="dxa"/>
              <w:bottom w:w="113" w:type="dxa"/>
              <w:right w:w="567" w:type="dxa"/>
            </w:tcMar>
            <w:vAlign w:val="center"/>
          </w:tcPr>
          <w:p w14:paraId="1B968298"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781CBDD5"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01AB9290"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2E224D4B"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74FC0BD0"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045E2C0B"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2BCC50AE"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583FDCE8"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250A84E1"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p w14:paraId="1F9861FD" w14:textId="77777777" w:rsidR="00C16EAA" w:rsidRDefault="00C16EAA">
            <w:pPr>
              <w:widowControl w:val="0"/>
              <w:pBdr>
                <w:top w:val="nil"/>
                <w:left w:val="nil"/>
                <w:bottom w:val="nil"/>
                <w:right w:val="nil"/>
                <w:between w:val="nil"/>
              </w:pBdr>
              <w:spacing w:line="288" w:lineRule="auto"/>
              <w:ind w:right="-426"/>
              <w:rPr>
                <w:rFonts w:ascii="Aptos" w:eastAsia="Aptos" w:hAnsi="Aptos" w:cs="Aptos"/>
                <w:color w:val="000000"/>
              </w:rPr>
            </w:pPr>
          </w:p>
        </w:tc>
      </w:tr>
      <w:tr w:rsidR="00C16EAA" w14:paraId="59A84C40" w14:textId="77777777">
        <w:trPr>
          <w:trHeight w:val="466"/>
        </w:trPr>
        <w:tc>
          <w:tcPr>
            <w:tcW w:w="8916" w:type="dxa"/>
            <w:gridSpan w:val="2"/>
            <w:tcMar>
              <w:top w:w="113" w:type="dxa"/>
              <w:bottom w:w="113" w:type="dxa"/>
              <w:right w:w="567" w:type="dxa"/>
            </w:tcMar>
          </w:tcPr>
          <w:p w14:paraId="2FF93803" w14:textId="77777777" w:rsidR="00C16EAA" w:rsidRDefault="00000000">
            <w:pPr>
              <w:widowControl w:val="0"/>
              <w:pBdr>
                <w:top w:val="nil"/>
                <w:left w:val="nil"/>
                <w:bottom w:val="nil"/>
                <w:right w:val="nil"/>
                <w:between w:val="nil"/>
              </w:pBdr>
              <w:spacing w:line="288" w:lineRule="auto"/>
              <w:ind w:right="-426"/>
              <w:rPr>
                <w:rFonts w:ascii="Aptos" w:eastAsia="Aptos" w:hAnsi="Aptos" w:cs="Aptos"/>
                <w:b/>
                <w:bCs/>
                <w:color w:val="000000"/>
              </w:rPr>
            </w:pPr>
            <w:r>
              <w:rPr>
                <w:rFonts w:ascii="Aptos" w:eastAsia="Aptos" w:hAnsi="Aptos" w:cs="Aptos"/>
                <w:b/>
                <w:bCs/>
                <w:color w:val="000000"/>
              </w:rPr>
              <w:t>How has this learning and/or experience (as described above) changed your views or approach to practice</w:t>
            </w:r>
          </w:p>
          <w:p w14:paraId="06E6A72E" w14:textId="77777777" w:rsidR="00C16EAA" w:rsidRDefault="00000000">
            <w:pPr>
              <w:widowControl w:val="0"/>
              <w:pBdr>
                <w:top w:val="nil"/>
                <w:left w:val="nil"/>
                <w:bottom w:val="nil"/>
                <w:right w:val="nil"/>
                <w:between w:val="nil"/>
              </w:pBdr>
              <w:spacing w:line="288" w:lineRule="auto"/>
              <w:ind w:right="-426"/>
              <w:rPr>
                <w:rFonts w:ascii="Aptos" w:eastAsia="Aptos" w:hAnsi="Aptos" w:cs="Aptos"/>
                <w:i/>
                <w:iCs/>
                <w:color w:val="000000"/>
              </w:rPr>
            </w:pPr>
            <w:r>
              <w:rPr>
                <w:rFonts w:ascii="Aptos" w:eastAsia="Aptos" w:hAnsi="Aptos" w:cs="Aptos"/>
                <w:i/>
                <w:iCs/>
                <w:color w:val="000000"/>
                <w:sz w:val="20"/>
                <w:szCs w:val="20"/>
              </w:rPr>
              <w:t>You may wish to include some examples (if different to above) to support your answers.</w:t>
            </w:r>
          </w:p>
        </w:tc>
      </w:tr>
      <w:tr w:rsidR="00C16EAA" w14:paraId="2AD48BEC" w14:textId="77777777">
        <w:trPr>
          <w:trHeight w:val="446"/>
        </w:trPr>
        <w:tc>
          <w:tcPr>
            <w:tcW w:w="8916" w:type="dxa"/>
            <w:gridSpan w:val="2"/>
            <w:tcMar>
              <w:top w:w="113" w:type="dxa"/>
              <w:bottom w:w="113" w:type="dxa"/>
              <w:right w:w="567" w:type="dxa"/>
            </w:tcMar>
            <w:vAlign w:val="center"/>
          </w:tcPr>
          <w:p w14:paraId="28822A76"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4A3CA55"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3A95F413"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5C14489"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026F0820"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78976A9F"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63E23C0A"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79263A26"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4A91C0EF"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54A377DA"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1E39B6AC"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27219B1C"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color w:val="000000"/>
                <w:sz w:val="22"/>
                <w:szCs w:val="22"/>
              </w:rPr>
            </w:pPr>
          </w:p>
          <w:p w14:paraId="4F48449B"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sz w:val="22"/>
                <w:szCs w:val="22"/>
              </w:rPr>
            </w:pPr>
          </w:p>
          <w:p w14:paraId="227CDA6F" w14:textId="77777777" w:rsidR="00C16EAA" w:rsidRDefault="00C16EAA">
            <w:pPr>
              <w:widowControl w:val="0"/>
              <w:pBdr>
                <w:top w:val="nil"/>
                <w:left w:val="nil"/>
                <w:bottom w:val="nil"/>
                <w:right w:val="nil"/>
                <w:between w:val="nil"/>
              </w:pBdr>
              <w:spacing w:line="288" w:lineRule="auto"/>
              <w:ind w:right="-426"/>
              <w:rPr>
                <w:rFonts w:ascii="Calibri" w:eastAsia="Calibri" w:hAnsi="Calibri" w:cs="Calibri"/>
                <w:sz w:val="22"/>
                <w:szCs w:val="22"/>
              </w:rPr>
            </w:pPr>
          </w:p>
        </w:tc>
      </w:tr>
      <w:tr w:rsidR="00C16EAA" w14:paraId="75C845C1" w14:textId="77777777">
        <w:trPr>
          <w:trHeight w:val="446"/>
        </w:trPr>
        <w:tc>
          <w:tcPr>
            <w:tcW w:w="8916" w:type="dxa"/>
            <w:gridSpan w:val="2"/>
            <w:tcMar>
              <w:top w:w="113" w:type="dxa"/>
              <w:bottom w:w="113" w:type="dxa"/>
              <w:right w:w="567" w:type="dxa"/>
            </w:tcMar>
            <w:vAlign w:val="center"/>
          </w:tcPr>
          <w:p w14:paraId="3708AE08" w14:textId="77777777" w:rsidR="00C16EAA" w:rsidRDefault="00000000">
            <w:pPr>
              <w:spacing w:after="120" w:line="259" w:lineRule="auto"/>
              <w:rPr>
                <w:rFonts w:ascii="Aptos" w:eastAsia="Aptos" w:hAnsi="Aptos" w:cs="Aptos"/>
                <w:sz w:val="22"/>
                <w:szCs w:val="22"/>
              </w:rPr>
            </w:pPr>
            <w:r>
              <w:rPr>
                <w:rFonts w:ascii="Aptos" w:eastAsia="Aptos" w:hAnsi="Aptos" w:cs="Aptos"/>
                <w:b/>
                <w:bCs/>
              </w:rPr>
              <w:lastRenderedPageBreak/>
              <w:t>Applicant declaration</w:t>
            </w:r>
          </w:p>
          <w:p w14:paraId="630945D1" w14:textId="77777777" w:rsidR="00C16EAA" w:rsidRDefault="00000000">
            <w:pPr>
              <w:spacing w:after="120" w:line="259" w:lineRule="auto"/>
              <w:rPr>
                <w:rFonts w:ascii="Calibri" w:eastAsia="Calibri" w:hAnsi="Calibri" w:cs="Calibri"/>
                <w:sz w:val="22"/>
                <w:szCs w:val="22"/>
              </w:rPr>
            </w:pPr>
            <w:r>
              <w:rPr>
                <w:rFonts w:ascii="Aptos" w:eastAsia="Aptos" w:hAnsi="Aptos" w:cs="Aptos"/>
                <w:sz w:val="22"/>
                <w:szCs w:val="22"/>
              </w:rPr>
              <w:t xml:space="preserve">I confirm that the contents of this reflective account form </w:t>
            </w:r>
            <w:proofErr w:type="gramStart"/>
            <w:r>
              <w:rPr>
                <w:rFonts w:ascii="Aptos" w:eastAsia="Aptos" w:hAnsi="Aptos" w:cs="Aptos"/>
                <w:sz w:val="22"/>
                <w:szCs w:val="22"/>
              </w:rPr>
              <w:t>represents</w:t>
            </w:r>
            <w:proofErr w:type="gramEnd"/>
            <w:r>
              <w:rPr>
                <w:rFonts w:ascii="Aptos" w:eastAsia="Aptos" w:hAnsi="Aptos" w:cs="Aptos"/>
                <w:sz w:val="22"/>
                <w:szCs w:val="22"/>
              </w:rPr>
              <w:t xml:space="preserve"> my own original work, derived solely from my personal knowledge, understanding, and effort. No part of this submission has been generated using AI tools or any other individual’s assistance. I understand that any indication of external assistance or plagiarism will result in a request to resubmit my assessment (which will be subject to an additional assessment fee).</w:t>
            </w:r>
          </w:p>
        </w:tc>
      </w:tr>
      <w:tr w:rsidR="00C16EAA" w14:paraId="63E6E380" w14:textId="77777777">
        <w:tc>
          <w:tcPr>
            <w:tcW w:w="4458" w:type="dxa"/>
            <w:tcMar>
              <w:top w:w="113" w:type="dxa"/>
              <w:bottom w:w="113" w:type="dxa"/>
              <w:right w:w="567" w:type="dxa"/>
            </w:tcMar>
            <w:vAlign w:val="center"/>
          </w:tcPr>
          <w:p w14:paraId="1F28ED5C" w14:textId="77777777" w:rsidR="00C16EAA" w:rsidRDefault="00000000">
            <w:pPr>
              <w:spacing w:after="120" w:line="259" w:lineRule="auto"/>
              <w:rPr>
                <w:rFonts w:ascii="Calibri" w:eastAsia="Calibri" w:hAnsi="Calibri" w:cs="Calibri"/>
                <w:color w:val="000000"/>
                <w:sz w:val="22"/>
                <w:szCs w:val="22"/>
              </w:rPr>
            </w:pPr>
            <w:r>
              <w:rPr>
                <w:rFonts w:ascii="Aptos" w:eastAsia="Aptos" w:hAnsi="Aptos" w:cs="Aptos"/>
                <w:sz w:val="22"/>
                <w:szCs w:val="22"/>
              </w:rPr>
              <w:t>Signed:</w:t>
            </w:r>
          </w:p>
        </w:tc>
        <w:tc>
          <w:tcPr>
            <w:tcW w:w="4458" w:type="dxa"/>
            <w:tcMar>
              <w:top w:w="113" w:type="dxa"/>
              <w:bottom w:w="113" w:type="dxa"/>
              <w:right w:w="567" w:type="dxa"/>
            </w:tcMar>
            <w:vAlign w:val="center"/>
          </w:tcPr>
          <w:p w14:paraId="002699CC" w14:textId="77777777" w:rsidR="00C16EAA" w:rsidRDefault="00000000">
            <w:pPr>
              <w:spacing w:after="120" w:line="259" w:lineRule="auto"/>
              <w:rPr>
                <w:rFonts w:ascii="Calibri" w:eastAsia="Calibri" w:hAnsi="Calibri" w:cs="Calibri"/>
                <w:color w:val="000000"/>
                <w:sz w:val="22"/>
                <w:szCs w:val="22"/>
              </w:rPr>
            </w:pPr>
            <w:r>
              <w:rPr>
                <w:rFonts w:ascii="Aptos" w:eastAsia="Aptos" w:hAnsi="Aptos" w:cs="Aptos"/>
                <w:sz w:val="22"/>
                <w:szCs w:val="22"/>
              </w:rPr>
              <w:t>Date:</w:t>
            </w:r>
          </w:p>
        </w:tc>
      </w:tr>
    </w:tbl>
    <w:p w14:paraId="2BB28EC7" w14:textId="77777777" w:rsidR="00C16EAA" w:rsidRDefault="00C16EAA">
      <w:pPr>
        <w:widowControl w:val="0"/>
        <w:pBdr>
          <w:top w:val="nil"/>
          <w:left w:val="nil"/>
          <w:bottom w:val="nil"/>
          <w:right w:val="nil"/>
          <w:between w:val="nil"/>
        </w:pBdr>
        <w:spacing w:line="288" w:lineRule="auto"/>
        <w:ind w:right="-489"/>
        <w:rPr>
          <w:rFonts w:ascii="Arial" w:eastAsia="Arial" w:hAnsi="Arial" w:cs="Arial"/>
        </w:rPr>
      </w:pPr>
    </w:p>
    <w:p w14:paraId="7C1C3205" w14:textId="77777777" w:rsidR="00C16EAA" w:rsidRDefault="00C16EAA">
      <w:pPr>
        <w:widowControl w:val="0"/>
        <w:pBdr>
          <w:top w:val="nil"/>
          <w:left w:val="nil"/>
          <w:bottom w:val="nil"/>
          <w:right w:val="nil"/>
          <w:between w:val="nil"/>
        </w:pBdr>
        <w:spacing w:line="288" w:lineRule="auto"/>
        <w:ind w:right="-489"/>
        <w:rPr>
          <w:rFonts w:ascii="Arial" w:eastAsia="Arial" w:hAnsi="Arial" w:cs="Arial"/>
        </w:rPr>
      </w:pPr>
    </w:p>
    <w:p w14:paraId="60B7DFD4" w14:textId="77777777" w:rsidR="00C16EAA" w:rsidRDefault="00000000">
      <w:pPr>
        <w:spacing w:after="160" w:line="259" w:lineRule="auto"/>
        <w:rPr>
          <w:rFonts w:ascii="Aptos" w:eastAsia="Aptos" w:hAnsi="Aptos" w:cs="Aptos"/>
          <w:b/>
          <w:bCs/>
          <w:color w:val="262626"/>
        </w:rPr>
      </w:pPr>
      <w:r>
        <w:rPr>
          <w:rFonts w:ascii="Aptos" w:eastAsia="Aptos" w:hAnsi="Aptos" w:cs="Aptos"/>
          <w:b/>
          <w:bCs/>
          <w:color w:val="262626"/>
          <w:sz w:val="28"/>
          <w:szCs w:val="28"/>
        </w:rPr>
        <w:t>Appendix: K&amp;U for the Clinical Animal Behaviourist (CAB) role</w:t>
      </w:r>
    </w:p>
    <w:p w14:paraId="0912A528" w14:textId="77777777" w:rsidR="00C16EAA" w:rsidRDefault="00C16EAA">
      <w:pPr>
        <w:spacing w:after="120" w:line="276" w:lineRule="auto"/>
        <w:rPr>
          <w:rFonts w:ascii="Aptos" w:eastAsia="Aptos" w:hAnsi="Aptos" w:cs="Aptos"/>
          <w:b/>
          <w:bCs/>
          <w:color w:val="262626"/>
        </w:rPr>
      </w:pPr>
    </w:p>
    <w:p w14:paraId="2B569A8B" w14:textId="77777777" w:rsidR="00C16EAA"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Behaviour </w:t>
      </w:r>
    </w:p>
    <w:p w14:paraId="34738403"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 Critically evaluate and analyse the ethology of vertebrate animals, including perceptual abilities, maintenance and survival behaviours and communication, their function and their motivational basis in a range of animal species and taxa. </w:t>
      </w:r>
    </w:p>
    <w:p w14:paraId="4E9C45CC"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 Recognise, critically evaluate and report on the behavioural states of a range of animal species and those that most commonly contribute to the caseload of the practitioners they might refer to, including signals indicative of ill health as well as key behavioural states such as fear, nervousness, aggression, frustration, threat-reduction, play and relaxation. </w:t>
      </w:r>
    </w:p>
    <w:p w14:paraId="5C2E93BA"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 Critically evaluate the effects of behavioural ontogeny; to include sensitive periods, socialisation and attachment theory in a range of animals and their possible role in the development of unwanted behaviours. </w:t>
      </w:r>
    </w:p>
    <w:p w14:paraId="01E620A3"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4. Critically evaluate the interaction between biological and evolutionary influences and the environment in which an animal is kept, and their roles in the development of behavioural disorders for a range of animal species. </w:t>
      </w:r>
    </w:p>
    <w:p w14:paraId="747ECD6D"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5. Demonstrate awareness of the process of domestication and its effects on the behaviour of animals; human/animal interactions and how these can contribute to the development of animal misuse, abuse, abandonment, animal-hoarding. </w:t>
      </w:r>
    </w:p>
    <w:p w14:paraId="3F9BC1FD" w14:textId="77777777" w:rsidR="00C16EAA" w:rsidRDefault="00C16EAA">
      <w:pPr>
        <w:spacing w:after="120" w:line="276" w:lineRule="auto"/>
        <w:rPr>
          <w:rFonts w:ascii="Aptos" w:eastAsia="Aptos" w:hAnsi="Aptos" w:cs="Aptos"/>
          <w:color w:val="262626"/>
          <w:sz w:val="22"/>
          <w:szCs w:val="22"/>
        </w:rPr>
      </w:pPr>
    </w:p>
    <w:p w14:paraId="556DED56" w14:textId="77777777" w:rsidR="00C16EAA"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Health and Welfare </w:t>
      </w:r>
    </w:p>
    <w:p w14:paraId="7536E1B1"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6. Compare, analyse and critically evaluate the key ethological, psychological and physiological concepts that underpin animal welfare in a range of taxa. </w:t>
      </w:r>
    </w:p>
    <w:p w14:paraId="557D4141"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lastRenderedPageBreak/>
        <w:t xml:space="preserve">7. Critically evaluate the welfare considerations in the management and training of animals and in clinical practice. </w:t>
      </w:r>
    </w:p>
    <w:p w14:paraId="413D417D"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8. Demonstrate an awareness of disease presentation, risk and mitigation in a range of species, as well as individual animals seen in practice. </w:t>
      </w:r>
    </w:p>
    <w:p w14:paraId="6606414F"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9. Demonstrate understanding of both intra and inter specific risks (human to human/zoonoses) and how to identify/ detect relevant threats; reporting procedures; management of the training and consultation environment. </w:t>
      </w:r>
    </w:p>
    <w:p w14:paraId="190458EE" w14:textId="77777777" w:rsidR="00C16EAA" w:rsidRDefault="00C16EAA">
      <w:pPr>
        <w:spacing w:after="120" w:line="276" w:lineRule="auto"/>
        <w:rPr>
          <w:rFonts w:ascii="Aptos" w:eastAsia="Aptos" w:hAnsi="Aptos" w:cs="Aptos"/>
          <w:color w:val="262626"/>
          <w:sz w:val="22"/>
          <w:szCs w:val="22"/>
        </w:rPr>
      </w:pPr>
    </w:p>
    <w:p w14:paraId="56D46525" w14:textId="77777777" w:rsidR="00C16EAA"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Animal Learning and Training </w:t>
      </w:r>
    </w:p>
    <w:p w14:paraId="2D392F9C"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10. How animals learn to include habituation; sensitisation, classical conditioning, operant conditioning, insight and social learning, animal cognition and the concept of sentience. </w:t>
      </w:r>
    </w:p>
    <w:p w14:paraId="05E42E1F"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11. Critically evaluate the principles underlying unwanted behaviours and how they may develop and be maintained. </w:t>
      </w:r>
    </w:p>
    <w:p w14:paraId="1DCA0274"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12. Critically evaluate the principles and rationale behind the use of a range of training, preventative and behavioural modification techniques, to include (but not limited to) systematic desensitisation, counter-conditioning and the use of clickers or other markers/conditioned reinforcers. </w:t>
      </w:r>
    </w:p>
    <w:p w14:paraId="69CCCF8A"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13. Critically evaluate and analyse the strategies and the range of techniques for the prevention and/or modification of unwanted behaviour, the rationale for their use/application, and the strengths and weaknesses of each, in animals of all ages. </w:t>
      </w:r>
    </w:p>
    <w:p w14:paraId="7142D232" w14:textId="77777777" w:rsidR="00C16EAA" w:rsidRDefault="00C16EAA">
      <w:pPr>
        <w:spacing w:after="120" w:line="276" w:lineRule="auto"/>
        <w:rPr>
          <w:rFonts w:ascii="Aptos" w:eastAsia="Aptos" w:hAnsi="Aptos" w:cs="Aptos"/>
          <w:color w:val="262626"/>
          <w:sz w:val="22"/>
          <w:szCs w:val="22"/>
        </w:rPr>
      </w:pPr>
    </w:p>
    <w:p w14:paraId="2B86CC0A" w14:textId="77777777" w:rsidR="00C16EAA" w:rsidRDefault="00000000">
      <w:pPr>
        <w:spacing w:after="120" w:line="276" w:lineRule="auto"/>
        <w:rPr>
          <w:rFonts w:ascii="Aptos" w:eastAsia="Aptos" w:hAnsi="Aptos" w:cs="Aptos"/>
          <w:b/>
          <w:bCs/>
          <w:color w:val="262626"/>
          <w:sz w:val="22"/>
          <w:szCs w:val="22"/>
        </w:rPr>
      </w:pPr>
      <w:r>
        <w:rPr>
          <w:rFonts w:ascii="Aptos" w:eastAsia="Aptos" w:hAnsi="Aptos" w:cs="Aptos"/>
          <w:b/>
          <w:bCs/>
          <w:color w:val="262626"/>
        </w:rPr>
        <w:t xml:space="preserve">The Interaction between Health and Behaviour </w:t>
      </w:r>
    </w:p>
    <w:p w14:paraId="6D4E697B"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14. Critically analyse the role of key anatomical and physiological systems (including the nervous and endocrine systems) in mediating behaviour. </w:t>
      </w:r>
    </w:p>
    <w:p w14:paraId="74318951"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15. Explain the concept of neural plasticity and the relevance and influence of environmental and genetic factors in the development of the nervous system. </w:t>
      </w:r>
    </w:p>
    <w:p w14:paraId="2B6DEF86"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16. Demonstrate awareness of the signs of physical ill-health, common conditions influencing behaviour and associated veterinary terminology. </w:t>
      </w:r>
    </w:p>
    <w:p w14:paraId="338AAE57"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17. Demonstrate awareness of the behavioural indicators and consequences of mental and emotional state (both positive and negative), and of medical disorders. </w:t>
      </w:r>
    </w:p>
    <w:p w14:paraId="6A4EFE18"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18. Critically evaluate the impact that mental and emotional state (both positive and negative), and medical issues may have on behaviour. </w:t>
      </w:r>
    </w:p>
    <w:p w14:paraId="7376CB49"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19. Critically evaluate the mode of action, the potential efficacy, constraints and contraindications, and the application of the major classes of psychopharmaceutical medications used in clinical animal behaviour. </w:t>
      </w:r>
    </w:p>
    <w:p w14:paraId="2F61B74A"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20. Critically evaluate commonly used complementary, or non-prescription therapies or products, their claimed/potential efficacy and the ethics of their use. </w:t>
      </w:r>
    </w:p>
    <w:p w14:paraId="52C170D1"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lastRenderedPageBreak/>
        <w:t xml:space="preserve">21. Recognise the ethical implications of psychopharmacological intervention and the legal position of the Clinical Animal Behaviourist, Veterinary Surgeon, and others, regarding diagnosis, prescription, use of drugs, and provision of information. </w:t>
      </w:r>
    </w:p>
    <w:p w14:paraId="6211E115" w14:textId="77777777" w:rsidR="00C16EAA" w:rsidRDefault="00C16EAA">
      <w:pPr>
        <w:spacing w:after="120" w:line="276" w:lineRule="auto"/>
        <w:rPr>
          <w:rFonts w:ascii="Aptos" w:eastAsia="Aptos" w:hAnsi="Aptos" w:cs="Aptos"/>
          <w:color w:val="262626"/>
          <w:sz w:val="22"/>
          <w:szCs w:val="22"/>
        </w:rPr>
      </w:pPr>
    </w:p>
    <w:p w14:paraId="62F4D6B1" w14:textId="77777777" w:rsidR="00C16EAA" w:rsidRDefault="00000000">
      <w:pPr>
        <w:spacing w:after="120" w:line="276" w:lineRule="auto"/>
        <w:rPr>
          <w:rFonts w:ascii="Aptos" w:eastAsia="Aptos" w:hAnsi="Aptos" w:cs="Aptos"/>
          <w:b/>
          <w:bCs/>
          <w:color w:val="262626"/>
          <w:sz w:val="22"/>
          <w:szCs w:val="22"/>
        </w:rPr>
      </w:pPr>
      <w:r>
        <w:rPr>
          <w:rFonts w:ascii="Aptos" w:eastAsia="Aptos" w:hAnsi="Aptos" w:cs="Aptos"/>
          <w:b/>
          <w:bCs/>
          <w:color w:val="262626"/>
        </w:rPr>
        <w:t xml:space="preserve">Clinical Procedures </w:t>
      </w:r>
    </w:p>
    <w:p w14:paraId="65DD2C00"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22. Critically evaluate underlying causations (differentials) and contributing factors (predisposing, initiating and maintenance factors) for a range of common behavioural disorders in animals to include phobias; aggression; abnormal repetitive behaviours; anxiety related behaviours. </w:t>
      </w:r>
    </w:p>
    <w:p w14:paraId="70EDE4D2"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23. Demonstrate the ability to apply the principles of ethology and learning theory to the assessment and treatment of a range of behaviour problems. </w:t>
      </w:r>
    </w:p>
    <w:p w14:paraId="717050E9"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24. Record and critically evaluate all information gathered, in order to assess unwanted behaviours, utilising a range of assessment tools. </w:t>
      </w:r>
    </w:p>
    <w:p w14:paraId="7CDCE7F6"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25. Demonstrate the ability to construct and deliver structured behaviour modification programmes to effectively address a range of unwanted behaviours. </w:t>
      </w:r>
    </w:p>
    <w:p w14:paraId="41BBC92B"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26. Effective techniques for the measurement and recording of progress of an animal/animals through a remedial plan for behaviour change and the reporting of progress to owners/guardians/handlers and other professionals.</w:t>
      </w:r>
    </w:p>
    <w:p w14:paraId="5C2159C0"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 27. Assess situations where further action may be necessary, including ways in which compliance with an extended programme for the prevention and/or modification of unwanted behaviour may be encouraged. </w:t>
      </w:r>
    </w:p>
    <w:p w14:paraId="067D0082"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28. Demonstrate awareness of a range of effective and inclusive communication techniques when collecting and disseminating information, providing support and when assessing and resolving issues relating to owner/guardian/handler understanding. </w:t>
      </w:r>
    </w:p>
    <w:p w14:paraId="048921F8"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29. Apply underlying principles in human and family psychology, to include attitude theory, processes of inter-personal relationships, grief and bereavement. </w:t>
      </w:r>
    </w:p>
    <w:p w14:paraId="1BE8D70D"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30. Apply the principles of effective counselling to facilitate and maintain behavioural change, both short and long term, including where the behaviour modification programme may need several revisions. </w:t>
      </w:r>
    </w:p>
    <w:p w14:paraId="4E8ECACA"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31. Demonstrate awareness of potential professional, ethical, welfare, safeguarding or other issues; and the actions necessary to address these, including appreciation of the importance of professional relationships and wider referral. </w:t>
      </w:r>
    </w:p>
    <w:p w14:paraId="570682A5"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32. How to recognise compassion fatigue and emotional burden in self, colleagues and owner/guardian/handler, and when and where to seek support. </w:t>
      </w:r>
    </w:p>
    <w:p w14:paraId="2FCED6EC"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33. Demonstrate awareness of the potential environmental impacts associated with the role, and how they can be minimised. </w:t>
      </w:r>
    </w:p>
    <w:p w14:paraId="2D17F38D" w14:textId="77777777" w:rsidR="00C16EAA" w:rsidRDefault="00C16EAA">
      <w:pPr>
        <w:spacing w:after="120" w:line="276" w:lineRule="auto"/>
        <w:rPr>
          <w:rFonts w:ascii="Aptos" w:eastAsia="Aptos" w:hAnsi="Aptos" w:cs="Aptos"/>
          <w:color w:val="262626"/>
          <w:sz w:val="22"/>
          <w:szCs w:val="22"/>
        </w:rPr>
      </w:pPr>
    </w:p>
    <w:p w14:paraId="0AE73D92" w14:textId="77777777" w:rsidR="00C16EAA" w:rsidRDefault="00000000">
      <w:pPr>
        <w:spacing w:after="120" w:line="276" w:lineRule="auto"/>
        <w:rPr>
          <w:rFonts w:ascii="Aptos" w:eastAsia="Aptos" w:hAnsi="Aptos" w:cs="Aptos"/>
          <w:b/>
          <w:bCs/>
          <w:color w:val="262626"/>
        </w:rPr>
      </w:pPr>
      <w:r>
        <w:rPr>
          <w:rFonts w:ascii="Aptos" w:eastAsia="Aptos" w:hAnsi="Aptos" w:cs="Aptos"/>
          <w:b/>
          <w:bCs/>
          <w:color w:val="262626"/>
        </w:rPr>
        <w:lastRenderedPageBreak/>
        <w:t xml:space="preserve">Law and Ethics </w:t>
      </w:r>
    </w:p>
    <w:p w14:paraId="6431B93E"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34. Demonstrate awareness of legislation relating to ownership, welfare and use of animals; employment law, health and safety legislation, safeguarding, DEI and the UK-GDPR (United Kingdom General Data Protection Regulation). This includes the implications and professional liability for the Clinical Animal Behaviourist, allied professionals, clients, veterinary staff and others. </w:t>
      </w:r>
    </w:p>
    <w:p w14:paraId="629C69FF"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35. Demonstrate awareness of employment law, Equality Act, health and safety legislation, safeguarding, DEI, and the UK-GDPR (United Kingdom General Data Protection Regulation); and their implications for the Clinical Animal Behaviourist, their clients and others. </w:t>
      </w:r>
    </w:p>
    <w:p w14:paraId="259B39C0"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36. Demonstrate awareness of the ethical frameworks and Codes of Practice relating to the welfare, ownership and use of animals. </w:t>
      </w:r>
    </w:p>
    <w:p w14:paraId="4F03339F" w14:textId="77777777" w:rsidR="00C16EAA" w:rsidRDefault="00C16EAA">
      <w:pPr>
        <w:spacing w:after="120" w:line="276" w:lineRule="auto"/>
        <w:rPr>
          <w:rFonts w:ascii="Aptos" w:eastAsia="Aptos" w:hAnsi="Aptos" w:cs="Aptos"/>
          <w:color w:val="262626"/>
          <w:sz w:val="22"/>
          <w:szCs w:val="22"/>
        </w:rPr>
      </w:pPr>
    </w:p>
    <w:p w14:paraId="48E02F6E" w14:textId="77777777" w:rsidR="00C16EAA" w:rsidRDefault="00000000">
      <w:pPr>
        <w:spacing w:after="120" w:line="276" w:lineRule="auto"/>
        <w:rPr>
          <w:rFonts w:ascii="Aptos" w:eastAsia="Aptos" w:hAnsi="Aptos" w:cs="Aptos"/>
          <w:b/>
          <w:bCs/>
          <w:color w:val="262626"/>
        </w:rPr>
      </w:pPr>
      <w:r>
        <w:rPr>
          <w:rFonts w:ascii="Aptos" w:eastAsia="Aptos" w:hAnsi="Aptos" w:cs="Aptos"/>
          <w:b/>
          <w:bCs/>
          <w:color w:val="262626"/>
        </w:rPr>
        <w:t xml:space="preserve">Critical Analysis and Research </w:t>
      </w:r>
    </w:p>
    <w:p w14:paraId="5B88728A"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 xml:space="preserve">37. Demonstrate an ability to critically evaluate the quality of research in terms of the methodology; robustness of data gathered and validity of findings and conclusions; from a range of publications and other sources, in order to judge its suitability as evidence on which to base clinical practice. </w:t>
      </w:r>
    </w:p>
    <w:p w14:paraId="1C9F0156"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38. Demonstrate awareness of cognitive biases (e.g. availability and confirmation) and their impact on the clinician and clients.</w:t>
      </w:r>
    </w:p>
    <w:p w14:paraId="1B02F49F" w14:textId="77777777" w:rsidR="00C16EAA" w:rsidRDefault="00000000">
      <w:pPr>
        <w:spacing w:after="120" w:line="276" w:lineRule="auto"/>
        <w:rPr>
          <w:rFonts w:ascii="Aptos" w:eastAsia="Aptos" w:hAnsi="Aptos" w:cs="Aptos"/>
          <w:color w:val="262626"/>
          <w:sz w:val="22"/>
          <w:szCs w:val="22"/>
        </w:rPr>
      </w:pPr>
      <w:r>
        <w:rPr>
          <w:rFonts w:ascii="Aptos" w:eastAsia="Aptos" w:hAnsi="Aptos" w:cs="Aptos"/>
          <w:color w:val="262626"/>
          <w:sz w:val="22"/>
          <w:szCs w:val="22"/>
        </w:rPr>
        <w:t>39. Demonstrate awareness of evidence-based methods to assess the effectiveness of behaviour modification programmes.</w:t>
      </w:r>
    </w:p>
    <w:p w14:paraId="5B6F29F6" w14:textId="77777777" w:rsidR="00C16EAA" w:rsidRDefault="00C16EAA">
      <w:pPr>
        <w:widowControl w:val="0"/>
        <w:pBdr>
          <w:top w:val="nil"/>
          <w:left w:val="nil"/>
          <w:bottom w:val="nil"/>
          <w:right w:val="nil"/>
          <w:between w:val="nil"/>
        </w:pBdr>
        <w:spacing w:line="288" w:lineRule="auto"/>
        <w:ind w:right="-489"/>
        <w:rPr>
          <w:rFonts w:ascii="Arial" w:eastAsia="Arial" w:hAnsi="Arial" w:cs="Arial"/>
        </w:rPr>
      </w:pPr>
    </w:p>
    <w:sectPr w:rsidR="00C16EAA">
      <w:headerReference w:type="default" r:id="rId10"/>
      <w:footerReference w:type="even" r:id="rId11"/>
      <w:footerReference w:type="default" r:id="rId12"/>
      <w:headerReference w:type="first" r:id="rId13"/>
      <w:pgSz w:w="11900" w:h="16840"/>
      <w:pgMar w:top="102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234CD" w14:textId="77777777" w:rsidR="00E72C43" w:rsidRDefault="00E72C43">
      <w:r>
        <w:separator/>
      </w:r>
    </w:p>
  </w:endnote>
  <w:endnote w:type="continuationSeparator" w:id="0">
    <w:p w14:paraId="3F99EF1E" w14:textId="77777777" w:rsidR="00E72C43" w:rsidRDefault="00E72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6C33726-BE3C-4302-AD42-8AB6D9723D8C}"/>
    <w:embedBold r:id="rId2" w:fontKey="{6E3183B4-12DC-4B7C-A0F4-37F0B2534A8A}"/>
  </w:font>
  <w:font w:name="Lucida Grande">
    <w:panose1 w:val="00000000000000000000"/>
    <w:charset w:val="00"/>
    <w:family w:val="roman"/>
    <w:notTrueType/>
    <w:pitch w:val="default"/>
  </w:font>
  <w:font w:name="MinionPro-Regular">
    <w:panose1 w:val="00000000000000000000"/>
    <w:charset w:val="00"/>
    <w:family w:val="roman"/>
    <w:notTrueType/>
    <w:pitch w:val="default"/>
  </w:font>
  <w:font w:name="FoundryMonoline-Extra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3" w:fontKey="{0C2ED75D-F8F0-48B2-A821-8325F537E081}"/>
  </w:font>
  <w:font w:name="Georgia">
    <w:panose1 w:val="02040502050405020303"/>
    <w:charset w:val="00"/>
    <w:family w:val="roman"/>
    <w:pitch w:val="variable"/>
    <w:sig w:usb0="00000287" w:usb1="00000000" w:usb2="00000000" w:usb3="00000000" w:csb0="0000009F" w:csb1="00000000"/>
    <w:embedItalic r:id="rId4" w:fontKey="{AF94B19E-8858-4076-ADCE-630DF5343842}"/>
  </w:font>
  <w:font w:name="Aptos">
    <w:charset w:val="00"/>
    <w:family w:val="swiss"/>
    <w:pitch w:val="variable"/>
    <w:sig w:usb0="20000287" w:usb1="00000003" w:usb2="00000000" w:usb3="00000000" w:csb0="0000019F" w:csb1="00000000"/>
    <w:embedRegular r:id="rId5" w:fontKey="{67EFCB3F-FB0E-44AD-B7D4-4998A6E9693A}"/>
    <w:embedBold r:id="rId6" w:fontKey="{E5FC3E1D-4B77-4FE2-BC99-244921F5972A}"/>
    <w:embedItalic r:id="rId7" w:fontKey="{7BD2973E-0C3B-4EDD-9274-EC39E91B1FA0}"/>
    <w:embedBoldItalic r:id="rId8" w:fontKey="{8A24EFB4-DDBA-4A60-A8AA-42C0FC3E39D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9" w:fontKey="{DAFAACC4-2609-4137-BF08-3B8DB73038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4159" w14:textId="77777777" w:rsidR="00C16EA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1ECC5AD" w14:textId="77777777" w:rsidR="00C16EAA" w:rsidRDefault="00C16EA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C35A" w14:textId="77777777" w:rsidR="00C16EAA" w:rsidRDefault="00000000">
    <w:pPr>
      <w:pBdr>
        <w:top w:val="nil"/>
        <w:left w:val="nil"/>
        <w:bottom w:val="nil"/>
        <w:right w:val="nil"/>
        <w:between w:val="nil"/>
      </w:pBdr>
      <w:tabs>
        <w:tab w:val="center" w:pos="4320"/>
        <w:tab w:val="right" w:pos="8640"/>
      </w:tabs>
      <w:jc w:val="right"/>
      <w:rPr>
        <w:color w:val="000000"/>
      </w:rPr>
    </w:pPr>
    <w:r>
      <w:rPr>
        <w:rFonts w:ascii="Aptos" w:eastAsia="Aptos" w:hAnsi="Aptos" w:cs="Aptos"/>
        <w:color w:val="000000"/>
        <w:sz w:val="20"/>
        <w:szCs w:val="20"/>
      </w:rPr>
      <w:fldChar w:fldCharType="begin"/>
    </w:r>
    <w:r>
      <w:rPr>
        <w:rFonts w:ascii="Aptos" w:eastAsia="Aptos" w:hAnsi="Aptos" w:cs="Aptos"/>
        <w:color w:val="000000"/>
        <w:sz w:val="20"/>
        <w:szCs w:val="20"/>
      </w:rPr>
      <w:instrText>PAGE</w:instrText>
    </w:r>
    <w:r>
      <w:rPr>
        <w:rFonts w:ascii="Aptos" w:eastAsia="Aptos" w:hAnsi="Aptos" w:cs="Aptos"/>
        <w:color w:val="000000"/>
        <w:sz w:val="20"/>
        <w:szCs w:val="20"/>
      </w:rPr>
      <w:fldChar w:fldCharType="separate"/>
    </w:r>
    <w:r w:rsidR="00C25145">
      <w:rPr>
        <w:rFonts w:ascii="Aptos" w:eastAsia="Aptos" w:hAnsi="Aptos" w:cs="Aptos"/>
        <w:noProof/>
        <w:color w:val="000000"/>
        <w:sz w:val="20"/>
        <w:szCs w:val="20"/>
      </w:rPr>
      <w:t>1</w:t>
    </w:r>
    <w:r>
      <w:rPr>
        <w:rFonts w:ascii="Aptos" w:eastAsia="Aptos" w:hAnsi="Aptos" w:cs="Aptos"/>
        <w:color w:val="000000"/>
        <w:sz w:val="20"/>
        <w:szCs w:val="20"/>
      </w:rPr>
      <w:fldChar w:fldCharType="end"/>
    </w:r>
  </w:p>
  <w:p w14:paraId="518C492F" w14:textId="77777777" w:rsidR="00C16EAA" w:rsidRDefault="00000000">
    <w:pPr>
      <w:tabs>
        <w:tab w:val="center" w:pos="4513"/>
        <w:tab w:val="right" w:pos="9026"/>
      </w:tabs>
      <w:spacing w:before="240" w:line="276" w:lineRule="auto"/>
      <w:ind w:right="360"/>
      <w:rPr>
        <w:rFonts w:ascii="Aptos" w:eastAsia="Aptos" w:hAnsi="Aptos" w:cs="Aptos"/>
        <w:sz w:val="20"/>
        <w:szCs w:val="20"/>
      </w:rPr>
    </w:pPr>
    <w:r>
      <w:rPr>
        <w:rFonts w:ascii="Aptos" w:eastAsia="Aptos" w:hAnsi="Aptos" w:cs="Aptos"/>
        <w:sz w:val="20"/>
        <w:szCs w:val="20"/>
      </w:rPr>
      <w:t>Registered Charity Numbers 1164009 (England &amp; Wales), SC047256 (Scotland)</w:t>
    </w:r>
    <w:r>
      <w:rPr>
        <w:rFonts w:ascii="Aptos" w:eastAsia="Aptos" w:hAnsi="Aptos" w:cs="Aptos"/>
        <w:sz w:val="20"/>
        <w:szCs w:val="20"/>
      </w:rPr>
      <w:tab/>
    </w:r>
  </w:p>
  <w:p w14:paraId="0DE062B9" w14:textId="77777777" w:rsidR="00C16EAA" w:rsidRDefault="00C16EAA">
    <w:pPr>
      <w:spacing w:line="200" w:lineRule="auto"/>
      <w:rPr>
        <w:rFonts w:ascii="Aptos" w:eastAsia="Aptos" w:hAnsi="Aptos" w:cs="Aptos"/>
        <w:i/>
        <w:iCs/>
        <w:sz w:val="20"/>
        <w:szCs w:val="20"/>
      </w:rPr>
    </w:pPr>
  </w:p>
  <w:p w14:paraId="74381418" w14:textId="77777777" w:rsidR="00C16EAA" w:rsidRDefault="00000000">
    <w:pPr>
      <w:spacing w:line="200" w:lineRule="auto"/>
      <w:rPr>
        <w:rFonts w:ascii="Aptos" w:eastAsia="Aptos" w:hAnsi="Aptos" w:cs="Aptos"/>
        <w:i/>
        <w:iCs/>
        <w:sz w:val="20"/>
        <w:szCs w:val="20"/>
      </w:rPr>
    </w:pPr>
    <w:r>
      <w:rPr>
        <w:rFonts w:ascii="Aptos" w:eastAsia="Aptos" w:hAnsi="Aptos" w:cs="Aptos"/>
        <w:i/>
        <w:iCs/>
        <w:sz w:val="20"/>
        <w:szCs w:val="20"/>
      </w:rPr>
      <w:t>APEL Reflective Account Form CAB 20 October 2026 (V3)</w:t>
    </w:r>
  </w:p>
  <w:p w14:paraId="2667C219" w14:textId="77777777" w:rsidR="00C16EAA" w:rsidRDefault="00C16E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841F" w14:textId="77777777" w:rsidR="00E72C43" w:rsidRDefault="00E72C43">
      <w:r>
        <w:separator/>
      </w:r>
    </w:p>
  </w:footnote>
  <w:footnote w:type="continuationSeparator" w:id="0">
    <w:p w14:paraId="65CD1DC9" w14:textId="77777777" w:rsidR="00E72C43" w:rsidRDefault="00E72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3D99" w14:textId="77777777" w:rsidR="00C16EAA" w:rsidRDefault="00C16EAA">
    <w:pPr>
      <w:pBdr>
        <w:top w:val="nil"/>
        <w:left w:val="nil"/>
        <w:bottom w:val="nil"/>
        <w:right w:val="nil"/>
        <w:between w:val="nil"/>
      </w:pBdr>
      <w:tabs>
        <w:tab w:val="center" w:pos="4320"/>
        <w:tab w:val="right" w:pos="8640"/>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092F" w14:textId="77777777" w:rsidR="00C16EAA" w:rsidRDefault="00000000">
    <w:pPr>
      <w:pBdr>
        <w:top w:val="nil"/>
        <w:left w:val="nil"/>
        <w:bottom w:val="nil"/>
        <w:right w:val="nil"/>
        <w:between w:val="nil"/>
      </w:pBdr>
      <w:tabs>
        <w:tab w:val="center" w:pos="4320"/>
        <w:tab w:val="right" w:pos="8640"/>
        <w:tab w:val="left" w:pos="1820"/>
      </w:tabs>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2EC7"/>
    <w:multiLevelType w:val="multilevel"/>
    <w:tmpl w:val="81460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952C9A"/>
    <w:multiLevelType w:val="multilevel"/>
    <w:tmpl w:val="97787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2033263">
    <w:abstractNumId w:val="0"/>
  </w:num>
  <w:num w:numId="2" w16cid:durableId="1404595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EAA"/>
    <w:rsid w:val="009C1D86"/>
    <w:rsid w:val="00C16EAA"/>
    <w:rsid w:val="00C25145"/>
    <w:rsid w:val="00E72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62625"/>
  <w15:docId w15:val="{4AE44BAF-1C6D-4737-AACA-FD7D0E7CA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8B75D4"/>
    <w:rPr>
      <w:rFonts w:ascii="Lucida Grande" w:hAnsi="Lucida Grande"/>
      <w:sz w:val="18"/>
      <w:szCs w:val="18"/>
    </w:rPr>
  </w:style>
  <w:style w:type="character" w:customStyle="1" w:styleId="BalloonTextChar">
    <w:name w:val="Balloon Text Char"/>
    <w:link w:val="BalloonText"/>
    <w:uiPriority w:val="99"/>
    <w:semiHidden/>
    <w:rsid w:val="008B75D4"/>
    <w:rPr>
      <w:rFonts w:ascii="Lucida Grande" w:hAnsi="Lucida Grande"/>
      <w:sz w:val="18"/>
      <w:szCs w:val="18"/>
    </w:rPr>
  </w:style>
  <w:style w:type="paragraph" w:styleId="Header">
    <w:name w:val="header"/>
    <w:basedOn w:val="Normal"/>
    <w:link w:val="HeaderChar"/>
    <w:uiPriority w:val="99"/>
    <w:unhideWhenUsed/>
    <w:rsid w:val="008B75D4"/>
    <w:pPr>
      <w:tabs>
        <w:tab w:val="center" w:pos="4320"/>
        <w:tab w:val="right" w:pos="8640"/>
      </w:tabs>
    </w:pPr>
  </w:style>
  <w:style w:type="character" w:customStyle="1" w:styleId="HeaderChar">
    <w:name w:val="Header Char"/>
    <w:basedOn w:val="DefaultParagraphFont"/>
    <w:link w:val="Header"/>
    <w:uiPriority w:val="99"/>
    <w:rsid w:val="008B75D4"/>
  </w:style>
  <w:style w:type="paragraph" w:styleId="Footer">
    <w:name w:val="footer"/>
    <w:basedOn w:val="Normal"/>
    <w:link w:val="FooterChar"/>
    <w:uiPriority w:val="99"/>
    <w:unhideWhenUsed/>
    <w:rsid w:val="008B75D4"/>
    <w:pPr>
      <w:tabs>
        <w:tab w:val="center" w:pos="4320"/>
        <w:tab w:val="right" w:pos="8640"/>
      </w:tabs>
    </w:pPr>
  </w:style>
  <w:style w:type="character" w:customStyle="1" w:styleId="FooterChar">
    <w:name w:val="Footer Char"/>
    <w:basedOn w:val="DefaultParagraphFont"/>
    <w:link w:val="Footer"/>
    <w:uiPriority w:val="99"/>
    <w:rsid w:val="008B75D4"/>
  </w:style>
  <w:style w:type="paragraph" w:customStyle="1" w:styleId="NoParagraphStyle">
    <w:name w:val="[No Paragraph Style]"/>
    <w:rsid w:val="008B75D4"/>
    <w:pPr>
      <w:widowControl w:val="0"/>
      <w:autoSpaceDE w:val="0"/>
      <w:autoSpaceDN w:val="0"/>
      <w:adjustRightInd w:val="0"/>
      <w:spacing w:line="288" w:lineRule="auto"/>
      <w:textAlignment w:val="center"/>
    </w:pPr>
    <w:rPr>
      <w:rFonts w:ascii="MinionPro-Regular" w:hAnsi="MinionPro-Regular" w:cs="MinionPro-Regular"/>
      <w:color w:val="000000"/>
      <w:lang w:eastAsia="en-US"/>
    </w:rPr>
  </w:style>
  <w:style w:type="table" w:styleId="TableGrid">
    <w:name w:val="Table Grid"/>
    <w:basedOn w:val="TableNormal"/>
    <w:uiPriority w:val="59"/>
    <w:rsid w:val="008B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ParagraphStyle"/>
    <w:uiPriority w:val="99"/>
    <w:rsid w:val="008B75D4"/>
  </w:style>
  <w:style w:type="character" w:customStyle="1" w:styleId="NMCWhite">
    <w:name w:val="NMC White"/>
    <w:uiPriority w:val="99"/>
    <w:rsid w:val="008B75D4"/>
    <w:rPr>
      <w:rFonts w:ascii="FoundryMonoline-ExtraBold" w:hAnsi="FoundryMonoline-ExtraBold" w:cs="FoundryMonoline-ExtraBold"/>
      <w:color w:val="FFFFFF"/>
    </w:rPr>
  </w:style>
  <w:style w:type="paragraph" w:styleId="ListParagraph">
    <w:name w:val="List Paragraph"/>
    <w:basedOn w:val="Normal"/>
    <w:uiPriority w:val="34"/>
    <w:qFormat/>
    <w:rsid w:val="00095EE4"/>
    <w:pPr>
      <w:widowControl w:val="0"/>
      <w:spacing w:after="200" w:line="276" w:lineRule="auto"/>
      <w:ind w:left="720"/>
      <w:contextualSpacing/>
    </w:pPr>
    <w:rPr>
      <w:rFonts w:ascii="Calibri" w:eastAsia="Calibri" w:hAnsi="Calibri"/>
      <w:sz w:val="22"/>
      <w:szCs w:val="22"/>
    </w:rPr>
  </w:style>
  <w:style w:type="character" w:customStyle="1" w:styleId="NMCTeal">
    <w:name w:val="NMC Teal"/>
    <w:uiPriority w:val="99"/>
    <w:rsid w:val="000D7F7A"/>
    <w:rPr>
      <w:rFonts w:ascii="FoundryMonoline-ExtraBold" w:hAnsi="FoundryMonoline-ExtraBold" w:cs="FoundryMonoline-ExtraBold"/>
      <w:color w:val="00AEC4"/>
    </w:rPr>
  </w:style>
  <w:style w:type="character" w:styleId="Strong">
    <w:name w:val="Strong"/>
    <w:basedOn w:val="DefaultParagraphFont"/>
    <w:uiPriority w:val="22"/>
    <w:qFormat/>
    <w:rsid w:val="00AA52A9"/>
    <w:rPr>
      <w:b/>
      <w:bCs/>
    </w:rPr>
  </w:style>
  <w:style w:type="paragraph" w:styleId="NormalWeb">
    <w:name w:val="Normal (Web)"/>
    <w:basedOn w:val="Normal"/>
    <w:uiPriority w:val="99"/>
    <w:semiHidden/>
    <w:unhideWhenUsed/>
    <w:rsid w:val="00B91948"/>
    <w:rPr>
      <w:rFonts w:ascii="Times New Roman" w:hAnsi="Times New Roma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PageNumber">
    <w:name w:val="page number"/>
    <w:basedOn w:val="DefaultParagraphFont"/>
    <w:uiPriority w:val="99"/>
    <w:semiHidden/>
    <w:unhideWhenUsed/>
    <w:rsid w:val="00C2523C"/>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btc.org.uk/wp-content/uploads/2025/12/ABTC-Standard-Clinical-Animal-Behaviourist-V7-December-2024.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UobqH+jXuQyNCGcO+/VduBzwA==">CgMxLjA4AGolChRzdWdnZXN0Lm5mczU0NnMxYjJuOBINTmljb2xlIEhhcnJpc2okChNzdWdnZXN0LnZvY3Jlb2hodXl0Eg1OaWNvbGUgSGFycmlzaiUKFHN1Z2dlc3QuOWM3czMxNjZzbjcxEg1OaWNvbGUgSGFycmlzaiUKFHN1Z2dlc3QueTRqeWJmd2p2MmkzEg1OaWNvbGUgSGFycmlzaiUKFHN1Z2dlc3QuNDlwMXdrYWQ0dmxiEg1OaWNvbGUgSGFycmlzciExSTVqN19wMmxMa2hiOGRwWVB2Nm9XOU5LZ295U3FRT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1658</Words>
  <Characters>9455</Characters>
  <Application>Microsoft Office Word</Application>
  <DocSecurity>0</DocSecurity>
  <Lines>78</Lines>
  <Paragraphs>22</Paragraphs>
  <ScaleCrop>false</ScaleCrop>
  <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NMC</dc:creator>
  <cp:lastModifiedBy>Val Harvey</cp:lastModifiedBy>
  <cp:revision>2</cp:revision>
  <dcterms:created xsi:type="dcterms:W3CDTF">2026-10-22T14:16:00Z</dcterms:created>
  <dcterms:modified xsi:type="dcterms:W3CDTF">2026-10-22T14:16:00Z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0x010100D960118D3A668E43AA04EE24AA2E08C1</vt:lpwstr>
  </property>
</Properties>
</file>