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B95DE" w14:textId="77777777" w:rsidR="00994470" w:rsidRDefault="00000000">
      <w:pPr>
        <w:widowControl w:val="0"/>
        <w:pBdr>
          <w:top w:val="nil"/>
          <w:left w:val="nil"/>
          <w:bottom w:val="nil"/>
          <w:right w:val="nil"/>
          <w:between w:val="nil"/>
        </w:pBdr>
        <w:spacing w:line="288" w:lineRule="auto"/>
        <w:ind w:right="-194"/>
        <w:jc w:val="right"/>
        <w:rPr>
          <w:rFonts w:ascii="Aptos" w:eastAsia="Aptos" w:hAnsi="Aptos" w:cs="Aptos"/>
          <w:color w:val="000000"/>
        </w:rPr>
      </w:pPr>
      <w:r>
        <w:rPr>
          <w:rFonts w:ascii="Aptos" w:eastAsia="Aptos" w:hAnsi="Aptos" w:cs="Aptos"/>
          <w:noProof/>
          <w:color w:val="000000"/>
        </w:rPr>
        <w:drawing>
          <wp:inline distT="0" distB="0" distL="0" distR="0" wp14:anchorId="22FDE2FA" wp14:editId="00F95994">
            <wp:extent cx="1324431" cy="697069"/>
            <wp:effectExtent l="0" t="0" r="0" b="0"/>
            <wp:docPr id="17386510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24431" cy="697069"/>
                    </a:xfrm>
                    <a:prstGeom prst="rect">
                      <a:avLst/>
                    </a:prstGeom>
                    <a:ln/>
                  </pic:spPr>
                </pic:pic>
              </a:graphicData>
            </a:graphic>
          </wp:inline>
        </w:drawing>
      </w:r>
    </w:p>
    <w:p w14:paraId="00A15D63" w14:textId="77777777" w:rsidR="00994470" w:rsidRDefault="00000000">
      <w:pPr>
        <w:widowControl w:val="0"/>
        <w:pBdr>
          <w:top w:val="nil"/>
          <w:left w:val="nil"/>
          <w:bottom w:val="nil"/>
          <w:right w:val="nil"/>
          <w:between w:val="nil"/>
        </w:pBdr>
        <w:spacing w:line="288" w:lineRule="auto"/>
        <w:ind w:right="-489"/>
        <w:rPr>
          <w:rFonts w:ascii="Aptos" w:eastAsia="Aptos" w:hAnsi="Aptos" w:cs="Aptos"/>
          <w:b/>
          <w:bCs/>
          <w:color w:val="000000"/>
          <w:sz w:val="28"/>
          <w:szCs w:val="28"/>
        </w:rPr>
      </w:pPr>
      <w:r>
        <w:rPr>
          <w:rFonts w:ascii="Aptos" w:eastAsia="Aptos" w:hAnsi="Aptos" w:cs="Aptos"/>
          <w:b/>
          <w:bCs/>
          <w:color w:val="000000"/>
          <w:sz w:val="28"/>
          <w:szCs w:val="28"/>
        </w:rPr>
        <w:t>APEL Reflective Account Form (ABT)</w:t>
      </w:r>
    </w:p>
    <w:p w14:paraId="49885CA1" w14:textId="77777777" w:rsidR="00994470" w:rsidRDefault="00994470">
      <w:pPr>
        <w:widowControl w:val="0"/>
        <w:pBdr>
          <w:top w:val="nil"/>
          <w:left w:val="nil"/>
          <w:bottom w:val="nil"/>
          <w:right w:val="nil"/>
          <w:between w:val="nil"/>
        </w:pBdr>
        <w:spacing w:line="288" w:lineRule="auto"/>
        <w:ind w:left="-709" w:right="-52"/>
        <w:rPr>
          <w:rFonts w:ascii="Aptos" w:eastAsia="Aptos" w:hAnsi="Aptos" w:cs="Aptos"/>
          <w:color w:val="000000"/>
          <w:sz w:val="22"/>
          <w:szCs w:val="22"/>
        </w:rPr>
      </w:pPr>
    </w:p>
    <w:p w14:paraId="0F567924" w14:textId="77777777" w:rsidR="00994470" w:rsidRDefault="00000000">
      <w:pPr>
        <w:widowControl w:val="0"/>
        <w:pBdr>
          <w:top w:val="nil"/>
          <w:left w:val="nil"/>
          <w:bottom w:val="nil"/>
          <w:right w:val="nil"/>
          <w:between w:val="nil"/>
        </w:pBdr>
        <w:spacing w:line="288" w:lineRule="auto"/>
        <w:rPr>
          <w:rFonts w:ascii="Aptos" w:eastAsia="Aptos" w:hAnsi="Aptos" w:cs="Aptos"/>
          <w:sz w:val="22"/>
          <w:szCs w:val="22"/>
        </w:rPr>
      </w:pPr>
      <w:r>
        <w:rPr>
          <w:rFonts w:ascii="Aptos" w:eastAsia="Aptos" w:hAnsi="Aptos" w:cs="Aptos"/>
          <w:sz w:val="22"/>
          <w:szCs w:val="22"/>
        </w:rPr>
        <w:t>Your Reflective Accounts are an opportunity to show how your previous learning and experience demonstrate the Knowledge &amp; Understanding (K&amp;U) required for the role of Animal Behaviour Technician.</w:t>
      </w:r>
    </w:p>
    <w:p w14:paraId="03720132" w14:textId="77777777" w:rsidR="00994470" w:rsidRDefault="00994470">
      <w:pPr>
        <w:widowControl w:val="0"/>
        <w:pBdr>
          <w:top w:val="nil"/>
          <w:left w:val="nil"/>
          <w:bottom w:val="nil"/>
          <w:right w:val="nil"/>
          <w:between w:val="nil"/>
        </w:pBdr>
        <w:spacing w:line="288" w:lineRule="auto"/>
        <w:rPr>
          <w:rFonts w:ascii="Aptos" w:eastAsia="Aptos" w:hAnsi="Aptos" w:cs="Aptos"/>
          <w:sz w:val="22"/>
          <w:szCs w:val="22"/>
        </w:rPr>
      </w:pPr>
    </w:p>
    <w:p w14:paraId="47A48799" w14:textId="77777777" w:rsidR="00994470" w:rsidRDefault="00000000">
      <w:pPr>
        <w:widowControl w:val="0"/>
        <w:pBdr>
          <w:top w:val="nil"/>
          <w:left w:val="nil"/>
          <w:bottom w:val="nil"/>
          <w:right w:val="nil"/>
          <w:between w:val="nil"/>
        </w:pBdr>
        <w:spacing w:line="288" w:lineRule="auto"/>
        <w:rPr>
          <w:rFonts w:ascii="Aptos" w:eastAsia="Aptos" w:hAnsi="Aptos" w:cs="Aptos"/>
          <w:sz w:val="22"/>
          <w:szCs w:val="22"/>
        </w:rPr>
      </w:pPr>
      <w:r>
        <w:rPr>
          <w:rFonts w:ascii="Aptos" w:eastAsia="Aptos" w:hAnsi="Aptos" w:cs="Aptos"/>
          <w:sz w:val="22"/>
          <w:szCs w:val="22"/>
        </w:rPr>
        <w:t xml:space="preserve">You must address all of the K&amp;U statements relevant to each section.  You can find the individual K&amp;U statements in the </w:t>
      </w:r>
      <w:hyperlink r:id="rId9">
        <w:r>
          <w:rPr>
            <w:rFonts w:ascii="Aptos" w:eastAsia="Aptos" w:hAnsi="Aptos" w:cs="Aptos"/>
            <w:color w:val="1155CC"/>
            <w:sz w:val="22"/>
            <w:szCs w:val="22"/>
            <w:u w:val="single"/>
          </w:rPr>
          <w:t>ABT Role Standards</w:t>
        </w:r>
      </w:hyperlink>
      <w:r>
        <w:rPr>
          <w:rFonts w:ascii="Aptos" w:eastAsia="Aptos" w:hAnsi="Aptos" w:cs="Aptos"/>
          <w:sz w:val="22"/>
          <w:szCs w:val="22"/>
        </w:rPr>
        <w:t xml:space="preserve"> and in the appendix at the end of this form. </w:t>
      </w:r>
    </w:p>
    <w:p w14:paraId="0DF2C769" w14:textId="77777777" w:rsidR="00994470" w:rsidRDefault="00994470">
      <w:pPr>
        <w:widowControl w:val="0"/>
        <w:pBdr>
          <w:top w:val="nil"/>
          <w:left w:val="nil"/>
          <w:bottom w:val="nil"/>
          <w:right w:val="nil"/>
          <w:between w:val="nil"/>
        </w:pBdr>
        <w:spacing w:line="288" w:lineRule="auto"/>
        <w:rPr>
          <w:rFonts w:ascii="Aptos" w:eastAsia="Aptos" w:hAnsi="Aptos" w:cs="Aptos"/>
          <w:sz w:val="22"/>
          <w:szCs w:val="22"/>
        </w:rPr>
      </w:pPr>
    </w:p>
    <w:p w14:paraId="35D8BDEB" w14:textId="77777777" w:rsidR="00994470" w:rsidRDefault="00000000">
      <w:pPr>
        <w:widowControl w:val="0"/>
        <w:pBdr>
          <w:top w:val="nil"/>
          <w:left w:val="nil"/>
          <w:bottom w:val="nil"/>
          <w:right w:val="nil"/>
          <w:between w:val="nil"/>
        </w:pBdr>
        <w:spacing w:line="288" w:lineRule="auto"/>
        <w:rPr>
          <w:rFonts w:ascii="Aptos" w:eastAsia="Aptos" w:hAnsi="Aptos" w:cs="Aptos"/>
          <w:sz w:val="22"/>
          <w:szCs w:val="22"/>
        </w:rPr>
      </w:pPr>
      <w:r>
        <w:rPr>
          <w:rFonts w:ascii="Aptos" w:eastAsia="Aptos" w:hAnsi="Aptos" w:cs="Aptos"/>
          <w:sz w:val="22"/>
          <w:szCs w:val="22"/>
        </w:rPr>
        <w:t>For further guidance on completing your Reflective Accounts, please refer to the APEL Guidelines for Applicants document, particularly:</w:t>
      </w:r>
    </w:p>
    <w:p w14:paraId="56FAB1BE" w14:textId="77777777" w:rsidR="00994470" w:rsidRDefault="00000000">
      <w:pPr>
        <w:widowControl w:val="0"/>
        <w:numPr>
          <w:ilvl w:val="0"/>
          <w:numId w:val="2"/>
        </w:numPr>
        <w:pBdr>
          <w:top w:val="nil"/>
          <w:left w:val="nil"/>
          <w:bottom w:val="nil"/>
          <w:right w:val="nil"/>
          <w:between w:val="nil"/>
        </w:pBdr>
        <w:spacing w:line="288" w:lineRule="auto"/>
        <w:rPr>
          <w:rFonts w:ascii="Aptos" w:eastAsia="Aptos" w:hAnsi="Aptos" w:cs="Aptos"/>
          <w:sz w:val="22"/>
          <w:szCs w:val="22"/>
        </w:rPr>
      </w:pPr>
      <w:r>
        <w:rPr>
          <w:rFonts w:ascii="Aptos" w:eastAsia="Aptos" w:hAnsi="Aptos" w:cs="Aptos"/>
          <w:sz w:val="22"/>
          <w:szCs w:val="22"/>
        </w:rPr>
        <w:t>Section 6 - K&amp;U Levels</w:t>
      </w:r>
    </w:p>
    <w:p w14:paraId="6A81A9E7" w14:textId="77777777" w:rsidR="00994470" w:rsidRDefault="00000000">
      <w:pPr>
        <w:widowControl w:val="0"/>
        <w:numPr>
          <w:ilvl w:val="0"/>
          <w:numId w:val="2"/>
        </w:numPr>
        <w:pBdr>
          <w:top w:val="nil"/>
          <w:left w:val="nil"/>
          <w:bottom w:val="nil"/>
          <w:right w:val="nil"/>
          <w:between w:val="nil"/>
        </w:pBdr>
        <w:spacing w:line="288" w:lineRule="auto"/>
        <w:rPr>
          <w:rFonts w:ascii="Aptos" w:eastAsia="Aptos" w:hAnsi="Aptos" w:cs="Aptos"/>
          <w:sz w:val="22"/>
          <w:szCs w:val="22"/>
        </w:rPr>
      </w:pPr>
      <w:r>
        <w:rPr>
          <w:rFonts w:ascii="Aptos" w:eastAsia="Aptos" w:hAnsi="Aptos" w:cs="Aptos"/>
          <w:sz w:val="22"/>
          <w:szCs w:val="22"/>
        </w:rPr>
        <w:t>Section 8.4.4 - Reflective Account forms</w:t>
      </w:r>
    </w:p>
    <w:p w14:paraId="0B5FE1A2" w14:textId="77777777" w:rsidR="00994470" w:rsidRDefault="00000000">
      <w:pPr>
        <w:widowControl w:val="0"/>
        <w:numPr>
          <w:ilvl w:val="0"/>
          <w:numId w:val="2"/>
        </w:numPr>
        <w:pBdr>
          <w:top w:val="nil"/>
          <w:left w:val="nil"/>
          <w:bottom w:val="nil"/>
          <w:right w:val="nil"/>
          <w:between w:val="nil"/>
        </w:pBdr>
        <w:spacing w:line="288" w:lineRule="auto"/>
        <w:rPr>
          <w:rFonts w:ascii="Aptos" w:eastAsia="Aptos" w:hAnsi="Aptos" w:cs="Aptos"/>
          <w:sz w:val="22"/>
          <w:szCs w:val="22"/>
        </w:rPr>
      </w:pPr>
      <w:r>
        <w:rPr>
          <w:rFonts w:ascii="Aptos" w:eastAsia="Aptos" w:hAnsi="Aptos" w:cs="Aptos"/>
          <w:sz w:val="22"/>
          <w:szCs w:val="22"/>
        </w:rPr>
        <w:t>Section 8.4.5.2 - Illustrative cases and scenarios</w:t>
      </w:r>
    </w:p>
    <w:p w14:paraId="785FA7BD" w14:textId="77777777" w:rsidR="00994470" w:rsidRDefault="00994470">
      <w:pPr>
        <w:widowControl w:val="0"/>
        <w:pBdr>
          <w:top w:val="nil"/>
          <w:left w:val="nil"/>
          <w:bottom w:val="nil"/>
          <w:right w:val="nil"/>
          <w:between w:val="nil"/>
        </w:pBdr>
        <w:spacing w:line="288" w:lineRule="auto"/>
        <w:jc w:val="both"/>
        <w:rPr>
          <w:rFonts w:ascii="Aptos" w:eastAsia="Aptos" w:hAnsi="Aptos" w:cs="Aptos"/>
          <w:color w:val="000000"/>
          <w:sz w:val="22"/>
          <w:szCs w:val="22"/>
        </w:rPr>
      </w:pPr>
    </w:p>
    <w:p w14:paraId="08B2FE17" w14:textId="77777777" w:rsidR="00994470" w:rsidRDefault="00000000">
      <w:pPr>
        <w:widowControl w:val="0"/>
        <w:pBdr>
          <w:top w:val="nil"/>
          <w:left w:val="nil"/>
          <w:bottom w:val="nil"/>
          <w:right w:val="nil"/>
          <w:between w:val="nil"/>
        </w:pBdr>
        <w:spacing w:line="288" w:lineRule="auto"/>
        <w:rPr>
          <w:rFonts w:ascii="Aptos" w:eastAsia="Aptos" w:hAnsi="Aptos" w:cs="Aptos"/>
          <w:sz w:val="22"/>
          <w:szCs w:val="22"/>
        </w:rPr>
      </w:pPr>
      <w:r>
        <w:rPr>
          <w:rFonts w:ascii="Aptos" w:eastAsia="Aptos" w:hAnsi="Aptos" w:cs="Aptos"/>
          <w:sz w:val="22"/>
          <w:szCs w:val="22"/>
        </w:rPr>
        <w:t>Please complete one Reflective Account form for each K&amp;U section.</w:t>
      </w:r>
    </w:p>
    <w:p w14:paraId="55CA78B8" w14:textId="77777777" w:rsidR="00994470" w:rsidRDefault="00994470">
      <w:pPr>
        <w:widowControl w:val="0"/>
        <w:pBdr>
          <w:top w:val="nil"/>
          <w:left w:val="nil"/>
          <w:bottom w:val="nil"/>
          <w:right w:val="nil"/>
          <w:between w:val="nil"/>
        </w:pBdr>
        <w:spacing w:line="288" w:lineRule="auto"/>
        <w:jc w:val="both"/>
        <w:rPr>
          <w:rFonts w:ascii="Aptos" w:eastAsia="Aptos" w:hAnsi="Aptos" w:cs="Aptos"/>
          <w:color w:val="000000"/>
          <w:sz w:val="22"/>
          <w:szCs w:val="22"/>
        </w:rPr>
      </w:pPr>
    </w:p>
    <w:tbl>
      <w:tblPr>
        <w:tblStyle w:val="a1"/>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994470" w14:paraId="57999D4E" w14:textId="77777777">
        <w:tc>
          <w:tcPr>
            <w:tcW w:w="9209" w:type="dxa"/>
          </w:tcPr>
          <w:p w14:paraId="538605CE" w14:textId="77777777" w:rsidR="00994470" w:rsidRDefault="00000000">
            <w:pPr>
              <w:widowControl w:val="0"/>
              <w:pBdr>
                <w:top w:val="nil"/>
                <w:left w:val="nil"/>
                <w:bottom w:val="nil"/>
                <w:right w:val="nil"/>
                <w:between w:val="nil"/>
              </w:pBdr>
              <w:spacing w:line="288" w:lineRule="auto"/>
              <w:jc w:val="center"/>
              <w:rPr>
                <w:rFonts w:ascii="Aptos" w:eastAsia="Aptos" w:hAnsi="Aptos" w:cs="Aptos"/>
                <w:b/>
                <w:bCs/>
                <w:color w:val="000000"/>
                <w:sz w:val="22"/>
                <w:szCs w:val="22"/>
              </w:rPr>
            </w:pPr>
            <w:r>
              <w:rPr>
                <w:rFonts w:ascii="Aptos" w:eastAsia="Aptos" w:hAnsi="Aptos" w:cs="Aptos"/>
                <w:b/>
                <w:bCs/>
                <w:color w:val="000000"/>
                <w:sz w:val="22"/>
                <w:szCs w:val="22"/>
              </w:rPr>
              <w:t>Animal Behaviour Technician (ABT)</w:t>
            </w:r>
          </w:p>
        </w:tc>
      </w:tr>
      <w:tr w:rsidR="00994470" w14:paraId="6D29BE0F" w14:textId="77777777">
        <w:tc>
          <w:tcPr>
            <w:tcW w:w="9209" w:type="dxa"/>
          </w:tcPr>
          <w:p w14:paraId="3B34A1A3" w14:textId="77777777" w:rsidR="00994470"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Animal Behaviour</w:t>
            </w:r>
          </w:p>
        </w:tc>
      </w:tr>
      <w:tr w:rsidR="00994470" w14:paraId="77CEBAC2" w14:textId="77777777">
        <w:tc>
          <w:tcPr>
            <w:tcW w:w="9209" w:type="dxa"/>
          </w:tcPr>
          <w:p w14:paraId="756D291A" w14:textId="77777777" w:rsidR="00994470"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Animal Health and Welfare</w:t>
            </w:r>
          </w:p>
        </w:tc>
      </w:tr>
      <w:tr w:rsidR="00994470" w14:paraId="305B6656" w14:textId="77777777">
        <w:tc>
          <w:tcPr>
            <w:tcW w:w="9209" w:type="dxa"/>
          </w:tcPr>
          <w:p w14:paraId="50DFAF78" w14:textId="77777777" w:rsidR="00994470"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Animal Learning and Training</w:t>
            </w:r>
          </w:p>
        </w:tc>
      </w:tr>
      <w:tr w:rsidR="00994470" w14:paraId="4FD0EA16" w14:textId="77777777">
        <w:tc>
          <w:tcPr>
            <w:tcW w:w="9209" w:type="dxa"/>
          </w:tcPr>
          <w:p w14:paraId="3D71BF9E" w14:textId="77777777" w:rsidR="00994470"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The Interaction between Health and Behaviour</w:t>
            </w:r>
          </w:p>
        </w:tc>
      </w:tr>
      <w:tr w:rsidR="00994470" w14:paraId="55C1ABFC" w14:textId="77777777">
        <w:tc>
          <w:tcPr>
            <w:tcW w:w="9209" w:type="dxa"/>
          </w:tcPr>
          <w:p w14:paraId="1CB13818" w14:textId="77777777" w:rsidR="00994470"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Clinical Procedures</w:t>
            </w:r>
          </w:p>
        </w:tc>
      </w:tr>
      <w:tr w:rsidR="00994470" w14:paraId="690066C2" w14:textId="77777777">
        <w:tc>
          <w:tcPr>
            <w:tcW w:w="9209" w:type="dxa"/>
          </w:tcPr>
          <w:p w14:paraId="01EFD664" w14:textId="77777777" w:rsidR="00994470"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Law and Ethics</w:t>
            </w:r>
          </w:p>
        </w:tc>
      </w:tr>
    </w:tbl>
    <w:p w14:paraId="4F7315AB" w14:textId="77777777" w:rsidR="00994470" w:rsidRDefault="00994470">
      <w:pPr>
        <w:widowControl w:val="0"/>
        <w:pBdr>
          <w:top w:val="nil"/>
          <w:left w:val="nil"/>
          <w:bottom w:val="nil"/>
          <w:right w:val="nil"/>
          <w:between w:val="nil"/>
        </w:pBdr>
        <w:spacing w:line="288" w:lineRule="auto"/>
        <w:jc w:val="both"/>
        <w:rPr>
          <w:rFonts w:ascii="Aptos" w:eastAsia="Aptos" w:hAnsi="Aptos" w:cs="Aptos"/>
          <w:color w:val="000000"/>
          <w:sz w:val="22"/>
          <w:szCs w:val="22"/>
        </w:rPr>
      </w:pPr>
    </w:p>
    <w:p w14:paraId="0D130EE6" w14:textId="77777777" w:rsidR="00994470" w:rsidRDefault="00000000">
      <w:pPr>
        <w:widowControl w:val="0"/>
        <w:pBdr>
          <w:top w:val="nil"/>
          <w:left w:val="nil"/>
          <w:bottom w:val="nil"/>
          <w:right w:val="nil"/>
          <w:between w:val="nil"/>
        </w:pBdr>
        <w:spacing w:line="288" w:lineRule="auto"/>
        <w:rPr>
          <w:rFonts w:ascii="Aptos" w:eastAsia="Aptos" w:hAnsi="Aptos" w:cs="Aptos"/>
          <w:b/>
          <w:bCs/>
          <w:sz w:val="22"/>
          <w:szCs w:val="22"/>
        </w:rPr>
      </w:pPr>
      <w:r>
        <w:rPr>
          <w:rFonts w:ascii="Aptos" w:eastAsia="Aptos" w:hAnsi="Aptos" w:cs="Aptos"/>
          <w:b/>
          <w:bCs/>
          <w:sz w:val="22"/>
          <w:szCs w:val="22"/>
        </w:rPr>
        <w:t>Important information</w:t>
      </w:r>
    </w:p>
    <w:p w14:paraId="2F2F55DD" w14:textId="77777777" w:rsidR="00994470" w:rsidRDefault="00994470">
      <w:pPr>
        <w:widowControl w:val="0"/>
        <w:pBdr>
          <w:top w:val="nil"/>
          <w:left w:val="nil"/>
          <w:bottom w:val="nil"/>
          <w:right w:val="nil"/>
          <w:between w:val="nil"/>
        </w:pBdr>
        <w:spacing w:line="288" w:lineRule="auto"/>
        <w:rPr>
          <w:rFonts w:ascii="Aptos" w:eastAsia="Aptos" w:hAnsi="Aptos" w:cs="Aptos"/>
          <w:sz w:val="22"/>
          <w:szCs w:val="22"/>
        </w:rPr>
      </w:pPr>
    </w:p>
    <w:p w14:paraId="45FDBDA0" w14:textId="77777777" w:rsidR="00994470" w:rsidRDefault="00000000">
      <w:pPr>
        <w:widowControl w:val="0"/>
        <w:pBdr>
          <w:top w:val="nil"/>
          <w:left w:val="nil"/>
          <w:bottom w:val="nil"/>
          <w:right w:val="nil"/>
          <w:between w:val="nil"/>
        </w:pBdr>
        <w:spacing w:line="288" w:lineRule="auto"/>
        <w:rPr>
          <w:rFonts w:ascii="Aptos" w:eastAsia="Aptos" w:hAnsi="Aptos" w:cs="Aptos"/>
          <w:sz w:val="22"/>
          <w:szCs w:val="22"/>
        </w:rPr>
      </w:pPr>
      <w:r>
        <w:rPr>
          <w:rFonts w:ascii="Aptos" w:eastAsia="Aptos" w:hAnsi="Aptos" w:cs="Aptos"/>
          <w:sz w:val="22"/>
          <w:szCs w:val="22"/>
        </w:rPr>
        <w:t xml:space="preserve">All case examples and supporting evidence must be fully anonymised.  Do not include any information that could identify a client, service user, colleague or other individual. </w:t>
      </w:r>
    </w:p>
    <w:p w14:paraId="326081C3" w14:textId="77777777" w:rsidR="00994470" w:rsidRDefault="00994470">
      <w:pPr>
        <w:widowControl w:val="0"/>
        <w:pBdr>
          <w:top w:val="nil"/>
          <w:left w:val="nil"/>
          <w:bottom w:val="nil"/>
          <w:right w:val="nil"/>
          <w:between w:val="nil"/>
        </w:pBdr>
        <w:spacing w:line="288" w:lineRule="auto"/>
        <w:rPr>
          <w:rFonts w:ascii="Aptos" w:eastAsia="Aptos" w:hAnsi="Aptos" w:cs="Aptos"/>
          <w:sz w:val="22"/>
          <w:szCs w:val="22"/>
        </w:rPr>
      </w:pPr>
    </w:p>
    <w:p w14:paraId="3B5ED920" w14:textId="77777777" w:rsidR="00994470" w:rsidRDefault="00000000">
      <w:pPr>
        <w:widowControl w:val="0"/>
        <w:pBdr>
          <w:top w:val="nil"/>
          <w:left w:val="nil"/>
          <w:bottom w:val="nil"/>
          <w:right w:val="nil"/>
          <w:between w:val="nil"/>
        </w:pBdr>
        <w:spacing w:line="288" w:lineRule="auto"/>
        <w:rPr>
          <w:rFonts w:ascii="Aptos" w:eastAsia="Aptos" w:hAnsi="Aptos" w:cs="Aptos"/>
          <w:sz w:val="22"/>
          <w:szCs w:val="22"/>
        </w:rPr>
      </w:pPr>
      <w:r>
        <w:rPr>
          <w:rFonts w:ascii="Aptos" w:eastAsia="Aptos" w:hAnsi="Aptos" w:cs="Aptos"/>
          <w:sz w:val="22"/>
          <w:szCs w:val="22"/>
        </w:rPr>
        <w:t>You may provide additional supporting documents, such as illustrative cases or scenarios (please see section 8.4.5.2 of the APEL guidelines for applicants document).  If you refer to a supporting document in your Reflective Account, please clearly identify the document so that your Assessors can find the relevant evidence.</w:t>
      </w:r>
    </w:p>
    <w:p w14:paraId="40BC7ECF" w14:textId="77777777" w:rsidR="00994470" w:rsidRDefault="00994470">
      <w:pPr>
        <w:widowControl w:val="0"/>
        <w:pBdr>
          <w:top w:val="nil"/>
          <w:left w:val="nil"/>
          <w:bottom w:val="nil"/>
          <w:right w:val="nil"/>
          <w:between w:val="nil"/>
        </w:pBdr>
        <w:spacing w:line="288" w:lineRule="auto"/>
        <w:rPr>
          <w:rFonts w:ascii="Aptos" w:eastAsia="Aptos" w:hAnsi="Aptos" w:cs="Aptos"/>
          <w:sz w:val="22"/>
          <w:szCs w:val="22"/>
        </w:rPr>
      </w:pPr>
    </w:p>
    <w:p w14:paraId="1A59B167" w14:textId="77777777" w:rsidR="00994470" w:rsidRDefault="00000000">
      <w:pPr>
        <w:widowControl w:val="0"/>
        <w:pBdr>
          <w:top w:val="nil"/>
          <w:left w:val="nil"/>
          <w:bottom w:val="nil"/>
          <w:right w:val="nil"/>
          <w:between w:val="nil"/>
        </w:pBdr>
        <w:spacing w:line="288" w:lineRule="auto"/>
        <w:rPr>
          <w:rFonts w:ascii="Aptos" w:eastAsia="Aptos" w:hAnsi="Aptos" w:cs="Aptos"/>
          <w:sz w:val="22"/>
          <w:szCs w:val="22"/>
        </w:rPr>
      </w:pPr>
      <w:r>
        <w:rPr>
          <w:rFonts w:ascii="Aptos" w:eastAsia="Aptos" w:hAnsi="Aptos" w:cs="Aptos"/>
          <w:sz w:val="22"/>
          <w:szCs w:val="22"/>
        </w:rPr>
        <w:t xml:space="preserve">Your examples may sometimes demonstrate K&amp;U from another section.  Where this happens, please include the relevant K&amp;U number in brackets so your Assessors can easily identify it, for </w:t>
      </w:r>
      <w:r>
        <w:rPr>
          <w:rFonts w:ascii="Aptos" w:eastAsia="Aptos" w:hAnsi="Aptos" w:cs="Aptos"/>
          <w:sz w:val="22"/>
          <w:szCs w:val="22"/>
        </w:rPr>
        <w:lastRenderedPageBreak/>
        <w:t>example (K&amp;U12).</w:t>
      </w:r>
    </w:p>
    <w:p w14:paraId="7DF78CF6" w14:textId="77777777" w:rsidR="00994470" w:rsidRDefault="00000000">
      <w:pPr>
        <w:widowControl w:val="0"/>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 xml:space="preserve">  </w:t>
      </w:r>
    </w:p>
    <w:p w14:paraId="1CE7C3B0" w14:textId="77777777" w:rsidR="00994470" w:rsidRDefault="00994470">
      <w:pPr>
        <w:widowControl w:val="0"/>
        <w:pBdr>
          <w:top w:val="nil"/>
          <w:left w:val="nil"/>
          <w:bottom w:val="nil"/>
          <w:right w:val="nil"/>
          <w:between w:val="nil"/>
        </w:pBdr>
        <w:spacing w:line="288" w:lineRule="auto"/>
        <w:ind w:left="-709" w:right="-489"/>
        <w:rPr>
          <w:rFonts w:ascii="Calibri" w:eastAsia="Calibri" w:hAnsi="Calibri" w:cs="Calibri"/>
          <w:color w:val="000000"/>
          <w:sz w:val="22"/>
          <w:szCs w:val="22"/>
        </w:rPr>
      </w:pPr>
    </w:p>
    <w:tbl>
      <w:tblPr>
        <w:tblStyle w:val="a2"/>
        <w:tblW w:w="8917"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00" w:firstRow="0" w:lastRow="0" w:firstColumn="0" w:lastColumn="0" w:noHBand="0" w:noVBand="1"/>
      </w:tblPr>
      <w:tblGrid>
        <w:gridCol w:w="4458"/>
        <w:gridCol w:w="4459"/>
      </w:tblGrid>
      <w:tr w:rsidR="00994470" w14:paraId="10DBA17E" w14:textId="77777777">
        <w:trPr>
          <w:trHeight w:val="466"/>
        </w:trPr>
        <w:tc>
          <w:tcPr>
            <w:tcW w:w="8916" w:type="dxa"/>
            <w:gridSpan w:val="2"/>
            <w:tcMar>
              <w:top w:w="113" w:type="dxa"/>
              <w:bottom w:w="113" w:type="dxa"/>
              <w:right w:w="567" w:type="dxa"/>
            </w:tcMar>
            <w:vAlign w:val="center"/>
          </w:tcPr>
          <w:p w14:paraId="024AF668" w14:textId="77777777" w:rsidR="00994470" w:rsidRDefault="00000000">
            <w:pPr>
              <w:widowControl w:val="0"/>
              <w:pBdr>
                <w:top w:val="nil"/>
                <w:left w:val="nil"/>
                <w:bottom w:val="nil"/>
                <w:right w:val="nil"/>
                <w:between w:val="nil"/>
              </w:pBdr>
              <w:spacing w:line="288" w:lineRule="auto"/>
              <w:ind w:right="-567"/>
              <w:rPr>
                <w:rFonts w:ascii="Aptos" w:eastAsia="Aptos" w:hAnsi="Aptos" w:cs="Aptos"/>
                <w:b/>
                <w:bCs/>
                <w:color w:val="000000"/>
              </w:rPr>
            </w:pPr>
            <w:r>
              <w:rPr>
                <w:rFonts w:ascii="Aptos" w:eastAsia="Aptos" w:hAnsi="Aptos" w:cs="Aptos"/>
                <w:b/>
                <w:bCs/>
                <w:color w:val="000000"/>
              </w:rPr>
              <w:t>Applicant Name:</w:t>
            </w:r>
          </w:p>
        </w:tc>
      </w:tr>
      <w:tr w:rsidR="00994470" w14:paraId="25D6D71E" w14:textId="77777777">
        <w:trPr>
          <w:trHeight w:val="466"/>
        </w:trPr>
        <w:tc>
          <w:tcPr>
            <w:tcW w:w="8916" w:type="dxa"/>
            <w:gridSpan w:val="2"/>
            <w:tcMar>
              <w:top w:w="113" w:type="dxa"/>
              <w:bottom w:w="113" w:type="dxa"/>
              <w:right w:w="567" w:type="dxa"/>
            </w:tcMar>
            <w:vAlign w:val="center"/>
          </w:tcPr>
          <w:p w14:paraId="54CF0A9C" w14:textId="77777777" w:rsidR="00994470" w:rsidRDefault="00000000">
            <w:pPr>
              <w:widowControl w:val="0"/>
              <w:pBdr>
                <w:top w:val="nil"/>
                <w:left w:val="nil"/>
                <w:bottom w:val="nil"/>
                <w:right w:val="nil"/>
                <w:between w:val="nil"/>
              </w:pBdr>
              <w:spacing w:line="288" w:lineRule="auto"/>
              <w:ind w:right="-567"/>
              <w:rPr>
                <w:rFonts w:ascii="Aptos" w:eastAsia="Aptos" w:hAnsi="Aptos" w:cs="Aptos"/>
                <w:color w:val="000000"/>
              </w:rPr>
            </w:pPr>
            <w:r>
              <w:rPr>
                <w:rFonts w:ascii="Aptos" w:eastAsia="Aptos" w:hAnsi="Aptos" w:cs="Aptos"/>
                <w:b/>
                <w:bCs/>
                <w:color w:val="000000"/>
              </w:rPr>
              <w:t xml:space="preserve">Knowledge &amp; Understanding Section: </w:t>
            </w:r>
            <w:r>
              <w:rPr>
                <w:rFonts w:ascii="Aptos" w:eastAsia="Aptos" w:hAnsi="Aptos" w:cs="Aptos"/>
                <w:b/>
                <w:bCs/>
                <w:color w:val="000000"/>
              </w:rPr>
              <w:br/>
            </w:r>
            <w:r>
              <w:rPr>
                <w:rFonts w:ascii="Aptos" w:eastAsia="Aptos" w:hAnsi="Aptos" w:cs="Aptos"/>
                <w:i/>
                <w:iCs/>
                <w:color w:val="000000"/>
                <w:sz w:val="20"/>
                <w:szCs w:val="20"/>
              </w:rPr>
              <w:t>e.g. Section 1 - Animal Behaviour</w:t>
            </w:r>
          </w:p>
        </w:tc>
      </w:tr>
      <w:tr w:rsidR="00994470" w14:paraId="6628538F" w14:textId="77777777">
        <w:trPr>
          <w:trHeight w:val="466"/>
        </w:trPr>
        <w:tc>
          <w:tcPr>
            <w:tcW w:w="8916" w:type="dxa"/>
            <w:gridSpan w:val="2"/>
            <w:tcMar>
              <w:top w:w="113" w:type="dxa"/>
              <w:bottom w:w="113" w:type="dxa"/>
              <w:right w:w="567" w:type="dxa"/>
            </w:tcMar>
            <w:vAlign w:val="center"/>
          </w:tcPr>
          <w:p w14:paraId="3E076893" w14:textId="77777777" w:rsidR="00994470" w:rsidRDefault="00000000">
            <w:pPr>
              <w:widowControl w:val="0"/>
              <w:pBdr>
                <w:top w:val="nil"/>
                <w:left w:val="nil"/>
                <w:bottom w:val="nil"/>
                <w:right w:val="nil"/>
                <w:between w:val="nil"/>
              </w:pBdr>
              <w:spacing w:line="288" w:lineRule="auto"/>
              <w:ind w:right="-426"/>
              <w:rPr>
                <w:rFonts w:ascii="Aptos" w:eastAsia="Aptos" w:hAnsi="Aptos" w:cs="Aptos"/>
                <w:b/>
                <w:bCs/>
                <w:color w:val="000000"/>
              </w:rPr>
            </w:pPr>
            <w:r>
              <w:rPr>
                <w:rFonts w:ascii="Aptos" w:eastAsia="Aptos" w:hAnsi="Aptos" w:cs="Aptos"/>
                <w:b/>
                <w:bCs/>
                <w:color w:val="000000"/>
              </w:rPr>
              <w:t xml:space="preserve">Explain how </w:t>
            </w:r>
            <w:proofErr w:type="gramStart"/>
            <w:r>
              <w:rPr>
                <w:rFonts w:ascii="Aptos" w:eastAsia="Aptos" w:hAnsi="Aptos" w:cs="Aptos"/>
                <w:b/>
                <w:bCs/>
                <w:color w:val="000000"/>
              </w:rPr>
              <w:t>your</w:t>
            </w:r>
            <w:proofErr w:type="gramEnd"/>
            <w:r>
              <w:rPr>
                <w:rFonts w:ascii="Aptos" w:eastAsia="Aptos" w:hAnsi="Aptos" w:cs="Aptos"/>
                <w:b/>
                <w:bCs/>
                <w:color w:val="000000"/>
              </w:rPr>
              <w:t xml:space="preserve"> learning and/or experience is relevant to the ABT role, and as such, meets the K&amp;U for this section.</w:t>
            </w:r>
          </w:p>
          <w:p w14:paraId="3D439E9A" w14:textId="77777777" w:rsidR="00994470" w:rsidRDefault="00000000">
            <w:pPr>
              <w:widowControl w:val="0"/>
              <w:pBdr>
                <w:top w:val="nil"/>
                <w:left w:val="nil"/>
                <w:bottom w:val="nil"/>
                <w:right w:val="nil"/>
                <w:between w:val="nil"/>
              </w:pBdr>
              <w:spacing w:line="288" w:lineRule="auto"/>
              <w:ind w:right="-426"/>
              <w:rPr>
                <w:rFonts w:ascii="Aptos" w:eastAsia="Aptos" w:hAnsi="Aptos" w:cs="Aptos"/>
                <w:color w:val="000000"/>
              </w:rPr>
            </w:pPr>
            <w:r>
              <w:rPr>
                <w:rFonts w:ascii="Aptos" w:eastAsia="Aptos" w:hAnsi="Aptos" w:cs="Aptos"/>
                <w:i/>
                <w:iCs/>
                <w:color w:val="000000"/>
                <w:sz w:val="20"/>
                <w:szCs w:val="20"/>
              </w:rPr>
              <w:t xml:space="preserve">The purpose of the reflective account is to show us how you are able to draw on all your knowledge and understanding for each section, referring to a variety of species. Within this you should consider and evaluate different ideas and theories, showing us </w:t>
            </w:r>
            <w:r>
              <w:rPr>
                <w:rFonts w:ascii="Aptos" w:eastAsia="Aptos" w:hAnsi="Aptos" w:cs="Aptos"/>
                <w:b/>
                <w:bCs/>
                <w:i/>
                <w:iCs/>
                <w:color w:val="000000"/>
                <w:sz w:val="20"/>
                <w:szCs w:val="20"/>
                <w:u w:val="single"/>
              </w:rPr>
              <w:t>how and why</w:t>
            </w:r>
            <w:r>
              <w:rPr>
                <w:rFonts w:ascii="Aptos" w:eastAsia="Aptos" w:hAnsi="Aptos" w:cs="Aptos"/>
                <w:i/>
                <w:iCs/>
                <w:color w:val="000000"/>
                <w:sz w:val="20"/>
                <w:szCs w:val="20"/>
              </w:rPr>
              <w:t xml:space="preserve"> you have selected these to demonstrate </w:t>
            </w:r>
            <w:r>
              <w:rPr>
                <w:rFonts w:ascii="Aptos" w:eastAsia="Aptos" w:hAnsi="Aptos" w:cs="Aptos"/>
                <w:b/>
                <w:bCs/>
                <w:i/>
                <w:iCs/>
                <w:color w:val="000000"/>
                <w:sz w:val="20"/>
                <w:szCs w:val="20"/>
                <w:u w:val="single"/>
              </w:rPr>
              <w:t>how and why</w:t>
            </w:r>
            <w:r>
              <w:rPr>
                <w:rFonts w:ascii="Aptos" w:eastAsia="Aptos" w:hAnsi="Aptos" w:cs="Aptos"/>
                <w:i/>
                <w:iCs/>
                <w:color w:val="000000"/>
                <w:sz w:val="20"/>
                <w:szCs w:val="20"/>
              </w:rPr>
              <w:t xml:space="preserve"> you might address a specific problem in a specific way.</w:t>
            </w:r>
          </w:p>
        </w:tc>
      </w:tr>
      <w:tr w:rsidR="00994470" w14:paraId="4883435F" w14:textId="77777777">
        <w:trPr>
          <w:trHeight w:val="466"/>
        </w:trPr>
        <w:tc>
          <w:tcPr>
            <w:tcW w:w="8916" w:type="dxa"/>
            <w:gridSpan w:val="2"/>
            <w:tcMar>
              <w:top w:w="113" w:type="dxa"/>
              <w:bottom w:w="113" w:type="dxa"/>
              <w:right w:w="567" w:type="dxa"/>
            </w:tcMar>
            <w:vAlign w:val="center"/>
          </w:tcPr>
          <w:p w14:paraId="341A7815" w14:textId="77777777" w:rsidR="00994470" w:rsidRDefault="00994470">
            <w:pPr>
              <w:widowControl w:val="0"/>
              <w:pBdr>
                <w:top w:val="nil"/>
                <w:left w:val="nil"/>
                <w:bottom w:val="nil"/>
                <w:right w:val="nil"/>
                <w:between w:val="nil"/>
              </w:pBdr>
              <w:spacing w:line="288" w:lineRule="auto"/>
              <w:ind w:right="-426"/>
              <w:rPr>
                <w:rFonts w:ascii="Aptos" w:eastAsia="Aptos" w:hAnsi="Aptos" w:cs="Aptos"/>
                <w:color w:val="000000"/>
              </w:rPr>
            </w:pPr>
          </w:p>
          <w:p w14:paraId="767D7D04" w14:textId="77777777" w:rsidR="00994470" w:rsidRDefault="00994470">
            <w:pPr>
              <w:widowControl w:val="0"/>
              <w:pBdr>
                <w:top w:val="nil"/>
                <w:left w:val="nil"/>
                <w:bottom w:val="nil"/>
                <w:right w:val="nil"/>
                <w:between w:val="nil"/>
              </w:pBdr>
              <w:spacing w:line="288" w:lineRule="auto"/>
              <w:ind w:right="-426"/>
              <w:rPr>
                <w:rFonts w:ascii="Aptos" w:eastAsia="Aptos" w:hAnsi="Aptos" w:cs="Aptos"/>
                <w:color w:val="000000"/>
              </w:rPr>
            </w:pPr>
          </w:p>
          <w:p w14:paraId="4731F5EB" w14:textId="77777777" w:rsidR="00994470" w:rsidRDefault="00994470">
            <w:pPr>
              <w:widowControl w:val="0"/>
              <w:pBdr>
                <w:top w:val="nil"/>
                <w:left w:val="nil"/>
                <w:bottom w:val="nil"/>
                <w:right w:val="nil"/>
                <w:between w:val="nil"/>
              </w:pBdr>
              <w:spacing w:line="288" w:lineRule="auto"/>
              <w:ind w:right="-426"/>
              <w:rPr>
                <w:rFonts w:ascii="Aptos" w:eastAsia="Aptos" w:hAnsi="Aptos" w:cs="Aptos"/>
                <w:color w:val="000000"/>
              </w:rPr>
            </w:pPr>
          </w:p>
          <w:p w14:paraId="62B40EC3" w14:textId="77777777" w:rsidR="00994470" w:rsidRDefault="00994470">
            <w:pPr>
              <w:widowControl w:val="0"/>
              <w:pBdr>
                <w:top w:val="nil"/>
                <w:left w:val="nil"/>
                <w:bottom w:val="nil"/>
                <w:right w:val="nil"/>
                <w:between w:val="nil"/>
              </w:pBdr>
              <w:spacing w:line="288" w:lineRule="auto"/>
              <w:ind w:right="-426"/>
              <w:rPr>
                <w:rFonts w:ascii="Aptos" w:eastAsia="Aptos" w:hAnsi="Aptos" w:cs="Aptos"/>
                <w:color w:val="000000"/>
              </w:rPr>
            </w:pPr>
          </w:p>
          <w:p w14:paraId="30A7393D" w14:textId="77777777" w:rsidR="00994470" w:rsidRDefault="00994470">
            <w:pPr>
              <w:widowControl w:val="0"/>
              <w:pBdr>
                <w:top w:val="nil"/>
                <w:left w:val="nil"/>
                <w:bottom w:val="nil"/>
                <w:right w:val="nil"/>
                <w:between w:val="nil"/>
              </w:pBdr>
              <w:spacing w:line="288" w:lineRule="auto"/>
              <w:ind w:right="-426"/>
              <w:rPr>
                <w:rFonts w:ascii="Aptos" w:eastAsia="Aptos" w:hAnsi="Aptos" w:cs="Aptos"/>
                <w:color w:val="000000"/>
              </w:rPr>
            </w:pPr>
          </w:p>
          <w:p w14:paraId="1A4BB04E" w14:textId="77777777" w:rsidR="00994470" w:rsidRDefault="00994470">
            <w:pPr>
              <w:widowControl w:val="0"/>
              <w:pBdr>
                <w:top w:val="nil"/>
                <w:left w:val="nil"/>
                <w:bottom w:val="nil"/>
                <w:right w:val="nil"/>
                <w:between w:val="nil"/>
              </w:pBdr>
              <w:spacing w:line="288" w:lineRule="auto"/>
              <w:ind w:right="-426"/>
              <w:rPr>
                <w:rFonts w:ascii="Aptos" w:eastAsia="Aptos" w:hAnsi="Aptos" w:cs="Aptos"/>
                <w:color w:val="000000"/>
              </w:rPr>
            </w:pPr>
          </w:p>
          <w:p w14:paraId="64B75D53" w14:textId="77777777" w:rsidR="00994470" w:rsidRDefault="00994470">
            <w:pPr>
              <w:widowControl w:val="0"/>
              <w:pBdr>
                <w:top w:val="nil"/>
                <w:left w:val="nil"/>
                <w:bottom w:val="nil"/>
                <w:right w:val="nil"/>
                <w:between w:val="nil"/>
              </w:pBdr>
              <w:spacing w:line="288" w:lineRule="auto"/>
              <w:ind w:right="-426"/>
              <w:rPr>
                <w:rFonts w:ascii="Aptos" w:eastAsia="Aptos" w:hAnsi="Aptos" w:cs="Aptos"/>
                <w:color w:val="000000"/>
              </w:rPr>
            </w:pPr>
          </w:p>
          <w:p w14:paraId="698433CF" w14:textId="77777777" w:rsidR="00994470" w:rsidRDefault="00994470">
            <w:pPr>
              <w:widowControl w:val="0"/>
              <w:pBdr>
                <w:top w:val="nil"/>
                <w:left w:val="nil"/>
                <w:bottom w:val="nil"/>
                <w:right w:val="nil"/>
                <w:between w:val="nil"/>
              </w:pBdr>
              <w:spacing w:line="288" w:lineRule="auto"/>
              <w:ind w:right="-426"/>
              <w:rPr>
                <w:rFonts w:ascii="Aptos" w:eastAsia="Aptos" w:hAnsi="Aptos" w:cs="Aptos"/>
                <w:color w:val="000000"/>
              </w:rPr>
            </w:pPr>
          </w:p>
          <w:p w14:paraId="0FC4734E" w14:textId="77777777" w:rsidR="00994470" w:rsidRDefault="00994470">
            <w:pPr>
              <w:widowControl w:val="0"/>
              <w:pBdr>
                <w:top w:val="nil"/>
                <w:left w:val="nil"/>
                <w:bottom w:val="nil"/>
                <w:right w:val="nil"/>
                <w:between w:val="nil"/>
              </w:pBdr>
              <w:spacing w:line="288" w:lineRule="auto"/>
              <w:ind w:right="-426"/>
              <w:rPr>
                <w:rFonts w:ascii="Aptos" w:eastAsia="Aptos" w:hAnsi="Aptos" w:cs="Aptos"/>
                <w:color w:val="000000"/>
              </w:rPr>
            </w:pPr>
          </w:p>
          <w:p w14:paraId="7E882869" w14:textId="77777777" w:rsidR="00994470" w:rsidRDefault="00994470">
            <w:pPr>
              <w:widowControl w:val="0"/>
              <w:pBdr>
                <w:top w:val="nil"/>
                <w:left w:val="nil"/>
                <w:bottom w:val="nil"/>
                <w:right w:val="nil"/>
                <w:between w:val="nil"/>
              </w:pBdr>
              <w:spacing w:line="288" w:lineRule="auto"/>
              <w:ind w:right="-426"/>
              <w:rPr>
                <w:rFonts w:ascii="Aptos" w:eastAsia="Aptos" w:hAnsi="Aptos" w:cs="Aptos"/>
                <w:color w:val="000000"/>
              </w:rPr>
            </w:pPr>
          </w:p>
        </w:tc>
      </w:tr>
      <w:tr w:rsidR="00994470" w14:paraId="012ADAA3" w14:textId="77777777">
        <w:trPr>
          <w:trHeight w:val="466"/>
        </w:trPr>
        <w:tc>
          <w:tcPr>
            <w:tcW w:w="8916" w:type="dxa"/>
            <w:gridSpan w:val="2"/>
            <w:tcMar>
              <w:top w:w="113" w:type="dxa"/>
              <w:bottom w:w="113" w:type="dxa"/>
              <w:right w:w="567" w:type="dxa"/>
            </w:tcMar>
          </w:tcPr>
          <w:p w14:paraId="6EBC7DD5" w14:textId="77777777" w:rsidR="00994470" w:rsidRDefault="00000000">
            <w:pPr>
              <w:widowControl w:val="0"/>
              <w:pBdr>
                <w:top w:val="nil"/>
                <w:left w:val="nil"/>
                <w:bottom w:val="nil"/>
                <w:right w:val="nil"/>
                <w:between w:val="nil"/>
              </w:pBdr>
              <w:spacing w:line="288" w:lineRule="auto"/>
              <w:ind w:right="-426"/>
              <w:rPr>
                <w:rFonts w:ascii="Aptos" w:eastAsia="Aptos" w:hAnsi="Aptos" w:cs="Aptos"/>
                <w:b/>
                <w:bCs/>
                <w:color w:val="000000"/>
              </w:rPr>
            </w:pPr>
            <w:r>
              <w:rPr>
                <w:rFonts w:ascii="Aptos" w:eastAsia="Aptos" w:hAnsi="Aptos" w:cs="Aptos"/>
                <w:b/>
                <w:bCs/>
                <w:color w:val="000000"/>
              </w:rPr>
              <w:t>How has this learning and/or experience (as described above) changed your views or approach to practice</w:t>
            </w:r>
          </w:p>
          <w:p w14:paraId="50344AEA" w14:textId="77777777" w:rsidR="00994470" w:rsidRDefault="00000000">
            <w:pPr>
              <w:widowControl w:val="0"/>
              <w:pBdr>
                <w:top w:val="nil"/>
                <w:left w:val="nil"/>
                <w:bottom w:val="nil"/>
                <w:right w:val="nil"/>
                <w:between w:val="nil"/>
              </w:pBdr>
              <w:spacing w:line="288" w:lineRule="auto"/>
              <w:ind w:right="-426"/>
              <w:rPr>
                <w:rFonts w:ascii="Aptos" w:eastAsia="Aptos" w:hAnsi="Aptos" w:cs="Aptos"/>
                <w:i/>
                <w:iCs/>
                <w:color w:val="000000"/>
              </w:rPr>
            </w:pPr>
            <w:r>
              <w:rPr>
                <w:rFonts w:ascii="Aptos" w:eastAsia="Aptos" w:hAnsi="Aptos" w:cs="Aptos"/>
                <w:i/>
                <w:iCs/>
                <w:color w:val="000000"/>
                <w:sz w:val="20"/>
                <w:szCs w:val="20"/>
              </w:rPr>
              <w:t>You may wish to include some examples (if different to above) to support your answers.</w:t>
            </w:r>
          </w:p>
        </w:tc>
      </w:tr>
      <w:tr w:rsidR="00994470" w14:paraId="3442380B" w14:textId="77777777">
        <w:trPr>
          <w:trHeight w:val="446"/>
        </w:trPr>
        <w:tc>
          <w:tcPr>
            <w:tcW w:w="8916" w:type="dxa"/>
            <w:gridSpan w:val="2"/>
            <w:tcMar>
              <w:top w:w="113" w:type="dxa"/>
              <w:bottom w:w="113" w:type="dxa"/>
              <w:right w:w="567" w:type="dxa"/>
            </w:tcMar>
            <w:vAlign w:val="center"/>
          </w:tcPr>
          <w:p w14:paraId="64125AB5"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2F2EB423"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2DC1749D"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71A372F7"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267E55F5"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57B464F4"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3E91D363"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7B674245"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436651F1"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47627493"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271F0611"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6C388BC5"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5056FD5A" w14:textId="77777777" w:rsidR="00994470" w:rsidRDefault="00994470">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tc>
      </w:tr>
      <w:tr w:rsidR="00994470" w14:paraId="1D372D14" w14:textId="77777777">
        <w:trPr>
          <w:trHeight w:val="466"/>
        </w:trPr>
        <w:tc>
          <w:tcPr>
            <w:tcW w:w="8916" w:type="dxa"/>
            <w:gridSpan w:val="2"/>
            <w:tcMar>
              <w:top w:w="113" w:type="dxa"/>
              <w:bottom w:w="113" w:type="dxa"/>
              <w:right w:w="567" w:type="dxa"/>
            </w:tcMar>
            <w:vAlign w:val="center"/>
          </w:tcPr>
          <w:p w14:paraId="6B6CC95F" w14:textId="77777777" w:rsidR="00994470" w:rsidRDefault="00000000">
            <w:pPr>
              <w:spacing w:after="120" w:line="259" w:lineRule="auto"/>
              <w:rPr>
                <w:rFonts w:ascii="Aptos" w:eastAsia="Aptos" w:hAnsi="Aptos" w:cs="Aptos"/>
                <w:sz w:val="22"/>
                <w:szCs w:val="22"/>
              </w:rPr>
            </w:pPr>
            <w:r>
              <w:rPr>
                <w:rFonts w:ascii="Aptos" w:eastAsia="Aptos" w:hAnsi="Aptos" w:cs="Aptos"/>
                <w:b/>
                <w:bCs/>
              </w:rPr>
              <w:lastRenderedPageBreak/>
              <w:t>Applicant declaration</w:t>
            </w:r>
          </w:p>
          <w:p w14:paraId="47763760" w14:textId="77777777" w:rsidR="00994470" w:rsidRDefault="00000000">
            <w:pPr>
              <w:spacing w:after="120" w:line="259" w:lineRule="auto"/>
              <w:rPr>
                <w:rFonts w:ascii="Calibri" w:eastAsia="Calibri" w:hAnsi="Calibri" w:cs="Calibri"/>
                <w:sz w:val="22"/>
                <w:szCs w:val="22"/>
              </w:rPr>
            </w:pPr>
            <w:r>
              <w:rPr>
                <w:rFonts w:ascii="Aptos" w:eastAsia="Aptos" w:hAnsi="Aptos" w:cs="Aptos"/>
                <w:sz w:val="22"/>
                <w:szCs w:val="22"/>
              </w:rPr>
              <w:t xml:space="preserve">I confirm that the contents of this reflective account form </w:t>
            </w:r>
            <w:proofErr w:type="gramStart"/>
            <w:r>
              <w:rPr>
                <w:rFonts w:ascii="Aptos" w:eastAsia="Aptos" w:hAnsi="Aptos" w:cs="Aptos"/>
                <w:sz w:val="22"/>
                <w:szCs w:val="22"/>
              </w:rPr>
              <w:t>represents</w:t>
            </w:r>
            <w:proofErr w:type="gramEnd"/>
            <w:r>
              <w:rPr>
                <w:rFonts w:ascii="Aptos" w:eastAsia="Aptos" w:hAnsi="Aptos" w:cs="Aptos"/>
                <w:sz w:val="22"/>
                <w:szCs w:val="22"/>
              </w:rPr>
              <w:t xml:space="preserve"> my own original work, derived solely from my personal knowledge, understanding, and effort. No part of this submission has been generated using AI tools or any other individual’s assistance. I understand that any indication of external assistance or plagiarism will result in a request to resubmit my assessment (which will be subject to an additional assessment fee).</w:t>
            </w:r>
          </w:p>
        </w:tc>
      </w:tr>
      <w:tr w:rsidR="00994470" w14:paraId="3748CD62" w14:textId="77777777">
        <w:tc>
          <w:tcPr>
            <w:tcW w:w="4458" w:type="dxa"/>
            <w:tcMar>
              <w:top w:w="113" w:type="dxa"/>
              <w:bottom w:w="113" w:type="dxa"/>
              <w:right w:w="567" w:type="dxa"/>
            </w:tcMar>
            <w:vAlign w:val="center"/>
          </w:tcPr>
          <w:p w14:paraId="68C90B84" w14:textId="77777777" w:rsidR="00994470" w:rsidRDefault="00000000">
            <w:pPr>
              <w:spacing w:after="120" w:line="259" w:lineRule="auto"/>
              <w:rPr>
                <w:rFonts w:ascii="Calibri" w:eastAsia="Calibri" w:hAnsi="Calibri" w:cs="Calibri"/>
                <w:color w:val="000000"/>
                <w:sz w:val="22"/>
                <w:szCs w:val="22"/>
              </w:rPr>
            </w:pPr>
            <w:r>
              <w:rPr>
                <w:rFonts w:ascii="Aptos" w:eastAsia="Aptos" w:hAnsi="Aptos" w:cs="Aptos"/>
                <w:sz w:val="22"/>
                <w:szCs w:val="22"/>
              </w:rPr>
              <w:t>Signed:</w:t>
            </w:r>
          </w:p>
        </w:tc>
        <w:tc>
          <w:tcPr>
            <w:tcW w:w="4458" w:type="dxa"/>
            <w:tcMar>
              <w:top w:w="113" w:type="dxa"/>
              <w:bottom w:w="113" w:type="dxa"/>
              <w:right w:w="567" w:type="dxa"/>
            </w:tcMar>
            <w:vAlign w:val="center"/>
          </w:tcPr>
          <w:p w14:paraId="03CBAA16" w14:textId="77777777" w:rsidR="00994470" w:rsidRDefault="00000000">
            <w:pPr>
              <w:spacing w:after="120" w:line="259" w:lineRule="auto"/>
              <w:rPr>
                <w:rFonts w:ascii="Calibri" w:eastAsia="Calibri" w:hAnsi="Calibri" w:cs="Calibri"/>
                <w:color w:val="000000"/>
                <w:sz w:val="22"/>
                <w:szCs w:val="22"/>
              </w:rPr>
            </w:pPr>
            <w:r>
              <w:rPr>
                <w:rFonts w:ascii="Aptos" w:eastAsia="Aptos" w:hAnsi="Aptos" w:cs="Aptos"/>
                <w:sz w:val="22"/>
                <w:szCs w:val="22"/>
              </w:rPr>
              <w:t>Date:</w:t>
            </w:r>
          </w:p>
        </w:tc>
      </w:tr>
    </w:tbl>
    <w:p w14:paraId="7EFBF5B3" w14:textId="77777777" w:rsidR="00994470" w:rsidRDefault="00994470">
      <w:pPr>
        <w:widowControl w:val="0"/>
        <w:pBdr>
          <w:top w:val="nil"/>
          <w:left w:val="nil"/>
          <w:bottom w:val="nil"/>
          <w:right w:val="nil"/>
          <w:between w:val="nil"/>
        </w:pBdr>
        <w:spacing w:line="288" w:lineRule="auto"/>
        <w:ind w:right="-489"/>
        <w:rPr>
          <w:rFonts w:ascii="Arial" w:eastAsia="Arial" w:hAnsi="Arial" w:cs="Arial"/>
        </w:rPr>
      </w:pPr>
    </w:p>
    <w:p w14:paraId="230DD0B6" w14:textId="77777777" w:rsidR="00994470" w:rsidRDefault="00994470">
      <w:pPr>
        <w:spacing w:after="160" w:line="259" w:lineRule="auto"/>
        <w:rPr>
          <w:rFonts w:ascii="Aptos" w:eastAsia="Aptos" w:hAnsi="Aptos" w:cs="Aptos"/>
          <w:b/>
          <w:bCs/>
          <w:color w:val="262626"/>
          <w:sz w:val="28"/>
          <w:szCs w:val="28"/>
        </w:rPr>
      </w:pPr>
    </w:p>
    <w:p w14:paraId="640C932F" w14:textId="77777777" w:rsidR="00994470" w:rsidRDefault="00000000">
      <w:pPr>
        <w:spacing w:after="160" w:line="259" w:lineRule="auto"/>
        <w:rPr>
          <w:rFonts w:ascii="Arial" w:eastAsia="Arial" w:hAnsi="Arial" w:cs="Arial"/>
        </w:rPr>
      </w:pPr>
      <w:r>
        <w:rPr>
          <w:rFonts w:ascii="Aptos" w:eastAsia="Aptos" w:hAnsi="Aptos" w:cs="Aptos"/>
          <w:b/>
          <w:bCs/>
          <w:color w:val="262626"/>
          <w:sz w:val="28"/>
          <w:szCs w:val="28"/>
        </w:rPr>
        <w:t>Appendix: K&amp;U for the Animal Behaviour Technician (ABT) role</w:t>
      </w:r>
    </w:p>
    <w:p w14:paraId="51774D56" w14:textId="77777777" w:rsidR="00994470" w:rsidRDefault="00994470">
      <w:pPr>
        <w:widowControl w:val="0"/>
        <w:pBdr>
          <w:top w:val="nil"/>
          <w:left w:val="nil"/>
          <w:bottom w:val="nil"/>
          <w:right w:val="nil"/>
          <w:between w:val="nil"/>
        </w:pBdr>
        <w:spacing w:line="288" w:lineRule="auto"/>
        <w:ind w:right="-489"/>
        <w:rPr>
          <w:rFonts w:ascii="Arial" w:eastAsia="Arial" w:hAnsi="Arial" w:cs="Arial"/>
        </w:rPr>
      </w:pPr>
    </w:p>
    <w:p w14:paraId="68DEBF38" w14:textId="77777777" w:rsidR="00994470" w:rsidRDefault="00000000">
      <w:pPr>
        <w:spacing w:after="120" w:line="276" w:lineRule="auto"/>
        <w:rPr>
          <w:rFonts w:ascii="Aptos" w:eastAsia="Aptos" w:hAnsi="Aptos" w:cs="Aptos"/>
          <w:b/>
          <w:bCs/>
          <w:color w:val="262626"/>
        </w:rPr>
      </w:pPr>
      <w:r>
        <w:rPr>
          <w:rFonts w:ascii="Aptos" w:eastAsia="Aptos" w:hAnsi="Aptos" w:cs="Aptos"/>
          <w:b/>
          <w:bCs/>
          <w:color w:val="262626"/>
        </w:rPr>
        <w:t xml:space="preserve">Animal Behaviour </w:t>
      </w:r>
    </w:p>
    <w:p w14:paraId="445AC586"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 Evaluate and analyse the ethology of vertebrate animals, including perceptual abilities, maintenance and survival behaviours and communication, their function and their motivational basis in a range of animal species and taxa. </w:t>
      </w:r>
    </w:p>
    <w:p w14:paraId="69587B05"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 Recognise, evaluate and report on the behavioural states of a range of animal species and those that most commonly contribute to the caseload of the practitioners they might refer to, including signals indicative of ill health as well as key behavioural states such as fear, nervousness, aggression, frustration, threat-reduction, play and relaxation. </w:t>
      </w:r>
    </w:p>
    <w:p w14:paraId="02746AC0"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3. Evaluate the effects of behavioural ontogeny; to include sensitive periods, socialisation and attachment theory in a range of animals and their possible role in the development of unwanted behaviours. </w:t>
      </w:r>
    </w:p>
    <w:p w14:paraId="47300BDC"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4. Evaluate the interaction between biological and evolutionary influences and the environment in which an animal is kept, and their roles in the development of behavioural disorders for a range of animal species. </w:t>
      </w:r>
    </w:p>
    <w:p w14:paraId="1943D509" w14:textId="77777777" w:rsidR="00994470" w:rsidRDefault="00994470">
      <w:pPr>
        <w:spacing w:after="120" w:line="276" w:lineRule="auto"/>
        <w:rPr>
          <w:rFonts w:ascii="Aptos" w:eastAsia="Aptos" w:hAnsi="Aptos" w:cs="Aptos"/>
          <w:color w:val="262626"/>
          <w:sz w:val="22"/>
          <w:szCs w:val="22"/>
        </w:rPr>
      </w:pPr>
    </w:p>
    <w:p w14:paraId="5A508A24" w14:textId="77777777" w:rsidR="00994470" w:rsidRDefault="00000000">
      <w:pPr>
        <w:spacing w:after="120" w:line="276" w:lineRule="auto"/>
        <w:rPr>
          <w:rFonts w:ascii="Aptos" w:eastAsia="Aptos" w:hAnsi="Aptos" w:cs="Aptos"/>
          <w:b/>
          <w:bCs/>
          <w:color w:val="262626"/>
        </w:rPr>
      </w:pPr>
      <w:r>
        <w:rPr>
          <w:rFonts w:ascii="Aptos" w:eastAsia="Aptos" w:hAnsi="Aptos" w:cs="Aptos"/>
          <w:b/>
          <w:bCs/>
          <w:color w:val="262626"/>
        </w:rPr>
        <w:t xml:space="preserve">Animal Health and Welfare </w:t>
      </w:r>
    </w:p>
    <w:p w14:paraId="5ED0790B"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5. Compare, analyse and evaluate the key ethological, psychological and physiological concepts that underpin animal welfare in a range of taxa. </w:t>
      </w:r>
    </w:p>
    <w:p w14:paraId="7EC07F66"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6. Evaluate the welfare considerations in the management and training of animals. </w:t>
      </w:r>
    </w:p>
    <w:p w14:paraId="39E4552E"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7. Demonstrate an awareness of disease presentation, risk and mitigation in a range of species, as well as individual animals seen in practice. </w:t>
      </w:r>
    </w:p>
    <w:p w14:paraId="07A4998F"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lastRenderedPageBreak/>
        <w:t xml:space="preserve">8. Demonstrate understanding of both intra and inter specific risks (human to human/and zoonoses) and how to identify/ detect relevant threats; reporting procedures; management of the training and consultation environment. </w:t>
      </w:r>
    </w:p>
    <w:p w14:paraId="50A3C03D" w14:textId="77777777" w:rsidR="00994470" w:rsidRDefault="00994470">
      <w:pPr>
        <w:spacing w:after="120" w:line="276" w:lineRule="auto"/>
        <w:rPr>
          <w:rFonts w:ascii="Aptos" w:eastAsia="Aptos" w:hAnsi="Aptos" w:cs="Aptos"/>
          <w:color w:val="262626"/>
          <w:sz w:val="22"/>
          <w:szCs w:val="22"/>
        </w:rPr>
      </w:pPr>
    </w:p>
    <w:p w14:paraId="3512D454" w14:textId="77777777" w:rsidR="00994470" w:rsidRDefault="00000000">
      <w:pPr>
        <w:spacing w:after="120" w:line="276" w:lineRule="auto"/>
        <w:rPr>
          <w:rFonts w:ascii="Aptos" w:eastAsia="Aptos" w:hAnsi="Aptos" w:cs="Aptos"/>
          <w:b/>
          <w:bCs/>
          <w:color w:val="262626"/>
        </w:rPr>
      </w:pPr>
      <w:r>
        <w:rPr>
          <w:rFonts w:ascii="Aptos" w:eastAsia="Aptos" w:hAnsi="Aptos" w:cs="Aptos"/>
          <w:b/>
          <w:bCs/>
          <w:color w:val="262626"/>
        </w:rPr>
        <w:t xml:space="preserve">Animal Learning and Training </w:t>
      </w:r>
    </w:p>
    <w:p w14:paraId="2E687122"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9. Evaluate how animals learn to include habituation; sensitisation, classical conditioning, operant conditioning, insight and social learning, animal cognition and the concept of sentience. </w:t>
      </w:r>
    </w:p>
    <w:p w14:paraId="77C8FE4A"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10. Evaluate the principles underlying unwanted behaviours and how they may develop and be maintained. </w:t>
      </w:r>
    </w:p>
    <w:p w14:paraId="74D04E06"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11. Evaluate the principles and rationale behind the use of a range of training, preventative and behavioural modification techniques, to include (but not limited to) systematic desensitisation, counter-conditioning and the use of clickers or other markers/conditioned reinforcers. </w:t>
      </w:r>
    </w:p>
    <w:p w14:paraId="764E20CE"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12. Evaluate and analyse the strategies and range of techniques for the implementation of preventative behavioural interventions in animals of all ages; the rationale for their use/application; and the strengths and weaknesses of each. </w:t>
      </w:r>
    </w:p>
    <w:p w14:paraId="2E4D7CF1" w14:textId="77777777" w:rsidR="00994470" w:rsidRDefault="00994470">
      <w:pPr>
        <w:spacing w:after="120" w:line="276" w:lineRule="auto"/>
        <w:rPr>
          <w:rFonts w:ascii="Aptos" w:eastAsia="Aptos" w:hAnsi="Aptos" w:cs="Aptos"/>
          <w:color w:val="262626"/>
          <w:sz w:val="22"/>
          <w:szCs w:val="22"/>
        </w:rPr>
      </w:pPr>
    </w:p>
    <w:p w14:paraId="6DBEF800" w14:textId="77777777" w:rsidR="00994470" w:rsidRDefault="00000000">
      <w:pPr>
        <w:spacing w:after="120" w:line="276" w:lineRule="auto"/>
        <w:rPr>
          <w:rFonts w:ascii="Aptos" w:eastAsia="Aptos" w:hAnsi="Aptos" w:cs="Aptos"/>
          <w:b/>
          <w:bCs/>
          <w:color w:val="262626"/>
        </w:rPr>
      </w:pPr>
      <w:r>
        <w:rPr>
          <w:rFonts w:ascii="Aptos" w:eastAsia="Aptos" w:hAnsi="Aptos" w:cs="Aptos"/>
          <w:b/>
          <w:bCs/>
          <w:color w:val="262626"/>
        </w:rPr>
        <w:t xml:space="preserve">The Interaction between Health and Behaviour </w:t>
      </w:r>
    </w:p>
    <w:p w14:paraId="523CF8A8"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13. Explain the functional anatomy and physiology of animals and the role of the nervous and endocrine systems in mediating behaviour. </w:t>
      </w:r>
    </w:p>
    <w:p w14:paraId="081C2B2A"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14. Demonstrate awareness of the signs of physical ill-health, common conditions influencing behaviour and associated veterinary terminology. </w:t>
      </w:r>
    </w:p>
    <w:p w14:paraId="3BB08D7A"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15. Demonstrate awareness of the behavioural indicators and consequences of mental and emotional state (both positive and negative). </w:t>
      </w:r>
    </w:p>
    <w:p w14:paraId="7F304307"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16. Evaluate the mode of action and application of the major classes of psychopharmaceutical medications used in clinical animal behaviour. </w:t>
      </w:r>
    </w:p>
    <w:p w14:paraId="79886F35"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17. Evaluate commonly used complementary, or non-prescription therapies or products, their claimed/potential efficacy and the ethics of their use. </w:t>
      </w:r>
    </w:p>
    <w:p w14:paraId="021F3447" w14:textId="77777777" w:rsidR="00994470" w:rsidRDefault="00994470">
      <w:pPr>
        <w:spacing w:after="120" w:line="276" w:lineRule="auto"/>
        <w:rPr>
          <w:rFonts w:ascii="Aptos" w:eastAsia="Aptos" w:hAnsi="Aptos" w:cs="Aptos"/>
          <w:color w:val="262626"/>
          <w:sz w:val="22"/>
          <w:szCs w:val="22"/>
        </w:rPr>
      </w:pPr>
    </w:p>
    <w:p w14:paraId="02252A30" w14:textId="77777777" w:rsidR="00994470" w:rsidRDefault="00000000">
      <w:pPr>
        <w:spacing w:after="120" w:line="276" w:lineRule="auto"/>
        <w:rPr>
          <w:rFonts w:ascii="Aptos" w:eastAsia="Aptos" w:hAnsi="Aptos" w:cs="Aptos"/>
          <w:b/>
          <w:bCs/>
          <w:color w:val="262626"/>
        </w:rPr>
      </w:pPr>
      <w:r>
        <w:rPr>
          <w:rFonts w:ascii="Aptos" w:eastAsia="Aptos" w:hAnsi="Aptos" w:cs="Aptos"/>
          <w:b/>
          <w:bCs/>
          <w:color w:val="262626"/>
        </w:rPr>
        <w:t xml:space="preserve">Clinical Procedures </w:t>
      </w:r>
    </w:p>
    <w:p w14:paraId="66D0353A"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18. Demonstrate understanding of the range of common behavioural disorders in animals. </w:t>
      </w:r>
    </w:p>
    <w:p w14:paraId="5C96CEFA"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19. Explain the application of the principles of ethology and learning theory for the prevention of unwanted behaviour and/or giving of first aid behavioural information. </w:t>
      </w:r>
    </w:p>
    <w:p w14:paraId="208F2803"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20. Demonstrate the ability to construct and deliver structured behaviour change programmes to effectively address the delivery of structured programmes for the prevention of unwanted behaviour and/or giving of first aid behavioural information, that are likely to be effective for target behaviours identified. </w:t>
      </w:r>
    </w:p>
    <w:p w14:paraId="2EFEB0BD"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lastRenderedPageBreak/>
        <w:t xml:space="preserve">21. Effective techniques for the measurement and recording of progress of an animal/animals through a remedial plan for behaviour change and the reporting of progress to owners/guardians/handlers and other professionals. </w:t>
      </w:r>
    </w:p>
    <w:p w14:paraId="7BCF1E98"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22. Assess situations where further action may be necessary, including ways in which compliance with an extended programme for the prevention of unwanted behaviour and/or giving of first aid behavioural information, may be encouraged. </w:t>
      </w:r>
    </w:p>
    <w:p w14:paraId="53D5A88D"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23. Demonstrate awareness of a range of effective and inclusive communication techniques when collecting and disseminating information, providing support and when assessing and resolving issues relating to owner/guardian/handler understanding. </w:t>
      </w:r>
    </w:p>
    <w:p w14:paraId="46B00276"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24. Demonstrate awareness of the common professional, ethical or other issues that need to be considered in all settings as part of the professional interactions of this role, and the need to refer to other professionals. </w:t>
      </w:r>
    </w:p>
    <w:p w14:paraId="695B4F84"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25. Recognise signs of compassion fatigue and emotional burden in self, colleagues and owner/guardian/handler, and when and where to seek support. </w:t>
      </w:r>
    </w:p>
    <w:p w14:paraId="6F06754F"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26. Demonstrate awareness of the potential environmental impacts associated with the role, and how they can be minimised. </w:t>
      </w:r>
    </w:p>
    <w:p w14:paraId="65CF494A" w14:textId="77777777" w:rsidR="00994470" w:rsidRDefault="00994470">
      <w:pPr>
        <w:spacing w:after="120" w:line="276" w:lineRule="auto"/>
        <w:rPr>
          <w:rFonts w:ascii="Aptos" w:eastAsia="Aptos" w:hAnsi="Aptos" w:cs="Aptos"/>
          <w:color w:val="262626"/>
          <w:sz w:val="22"/>
          <w:szCs w:val="22"/>
        </w:rPr>
      </w:pPr>
    </w:p>
    <w:p w14:paraId="5C3B83CF" w14:textId="77777777" w:rsidR="00994470" w:rsidRDefault="00000000">
      <w:pPr>
        <w:spacing w:after="120" w:line="276" w:lineRule="auto"/>
        <w:rPr>
          <w:rFonts w:ascii="Aptos" w:eastAsia="Aptos" w:hAnsi="Aptos" w:cs="Aptos"/>
          <w:b/>
          <w:bCs/>
          <w:color w:val="262626"/>
        </w:rPr>
      </w:pPr>
      <w:r>
        <w:rPr>
          <w:rFonts w:ascii="Aptos" w:eastAsia="Aptos" w:hAnsi="Aptos" w:cs="Aptos"/>
          <w:b/>
          <w:bCs/>
          <w:color w:val="262626"/>
        </w:rPr>
        <w:t xml:space="preserve">Law and Ethics </w:t>
      </w:r>
    </w:p>
    <w:p w14:paraId="723C7390"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27. Demonstrate awareness of legislation relating to ownership, welfare and use of animals; employment law, health and safety legislation, safeguarding, DEI and the UK-GDPR (United Kingdom General Data Protection Regulation). This includes the implications and professional liability for the Animal Behaviour Technician, allied professionals, clients, veterinary staff and others. </w:t>
      </w:r>
    </w:p>
    <w:p w14:paraId="142A5393" w14:textId="77777777" w:rsidR="00994470"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28. Demonstrate awareness of the ethical frameworks and Codes of Practice relating to the welfare, ownership and use of animals.</w:t>
      </w:r>
    </w:p>
    <w:p w14:paraId="36D4F669" w14:textId="77777777" w:rsidR="00994470" w:rsidRDefault="00994470">
      <w:pPr>
        <w:widowControl w:val="0"/>
        <w:pBdr>
          <w:top w:val="nil"/>
          <w:left w:val="nil"/>
          <w:bottom w:val="nil"/>
          <w:right w:val="nil"/>
          <w:between w:val="nil"/>
        </w:pBdr>
        <w:spacing w:line="288" w:lineRule="auto"/>
        <w:ind w:right="-489"/>
        <w:rPr>
          <w:rFonts w:ascii="Arial" w:eastAsia="Arial" w:hAnsi="Arial" w:cs="Arial"/>
        </w:rPr>
      </w:pPr>
    </w:p>
    <w:sectPr w:rsidR="00994470">
      <w:headerReference w:type="default" r:id="rId10"/>
      <w:footerReference w:type="even" r:id="rId11"/>
      <w:footerReference w:type="default" r:id="rId12"/>
      <w:headerReference w:type="first" r:id="rId13"/>
      <w:pgSz w:w="11900" w:h="16840"/>
      <w:pgMar w:top="1021"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86668" w14:textId="77777777" w:rsidR="001A35A7" w:rsidRDefault="001A35A7">
      <w:r>
        <w:separator/>
      </w:r>
    </w:p>
  </w:endnote>
  <w:endnote w:type="continuationSeparator" w:id="0">
    <w:p w14:paraId="2DF285B3" w14:textId="77777777" w:rsidR="001A35A7" w:rsidRDefault="001A3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E7B6FC9C-860D-4CBF-B915-1A7C97B281CD}"/>
    <w:embedBold r:id="rId2" w:fontKey="{E6938182-6632-4225-8890-9B91E542A4DB}"/>
  </w:font>
  <w:font w:name="Lucida Grande">
    <w:panose1 w:val="00000000000000000000"/>
    <w:charset w:val="00"/>
    <w:family w:val="roman"/>
    <w:notTrueType/>
    <w:pitch w:val="default"/>
  </w:font>
  <w:font w:name="MinionPro-Regular">
    <w:panose1 w:val="00000000000000000000"/>
    <w:charset w:val="00"/>
    <w:family w:val="roman"/>
    <w:notTrueType/>
    <w:pitch w:val="default"/>
  </w:font>
  <w:font w:name="FoundryMonoline-Extra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3" w:fontKey="{ED21BE43-AF40-4C54-82A6-9F0DB3371B39}"/>
  </w:font>
  <w:font w:name="Georgia">
    <w:panose1 w:val="02040502050405020303"/>
    <w:charset w:val="00"/>
    <w:family w:val="roman"/>
    <w:pitch w:val="variable"/>
    <w:sig w:usb0="00000287" w:usb1="00000000" w:usb2="00000000" w:usb3="00000000" w:csb0="0000009F" w:csb1="00000000"/>
    <w:embedItalic r:id="rId4" w:fontKey="{351320C8-11AA-442D-82B4-B86B3C628764}"/>
  </w:font>
  <w:font w:name="Aptos">
    <w:charset w:val="00"/>
    <w:family w:val="swiss"/>
    <w:pitch w:val="variable"/>
    <w:sig w:usb0="20000287" w:usb1="00000003" w:usb2="00000000" w:usb3="00000000" w:csb0="0000019F" w:csb1="00000000"/>
    <w:embedRegular r:id="rId5" w:fontKey="{9CB40660-2546-4B2E-9385-CE381BD37B0A}"/>
    <w:embedBold r:id="rId6" w:fontKey="{96231926-D6F5-487C-8B4C-44CAFFCED545}"/>
    <w:embedItalic r:id="rId7" w:fontKey="{B41BFF72-B93B-44DF-9FE3-520440760252}"/>
    <w:embedBoldItalic r:id="rId8" w:fontKey="{FBA02A58-197C-4618-92C8-2DA45C274F4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9" w:fontKey="{47BD6F6E-3071-4D85-8957-800F56FCF9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3E01" w14:textId="77777777" w:rsidR="00994470"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8EB8766" w14:textId="77777777" w:rsidR="00994470" w:rsidRDefault="00994470">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EE1B" w14:textId="77777777" w:rsidR="00994470" w:rsidRDefault="00000000">
    <w:pPr>
      <w:pBdr>
        <w:top w:val="nil"/>
        <w:left w:val="nil"/>
        <w:bottom w:val="nil"/>
        <w:right w:val="nil"/>
        <w:between w:val="nil"/>
      </w:pBdr>
      <w:tabs>
        <w:tab w:val="center" w:pos="4320"/>
        <w:tab w:val="right" w:pos="8640"/>
      </w:tabs>
      <w:jc w:val="right"/>
      <w:rPr>
        <w:color w:val="000000"/>
      </w:rPr>
    </w:pPr>
    <w:r>
      <w:rPr>
        <w:rFonts w:ascii="Aptos" w:eastAsia="Aptos" w:hAnsi="Aptos" w:cs="Aptos"/>
        <w:color w:val="000000"/>
        <w:sz w:val="20"/>
        <w:szCs w:val="20"/>
      </w:rPr>
      <w:fldChar w:fldCharType="begin"/>
    </w:r>
    <w:r>
      <w:rPr>
        <w:rFonts w:ascii="Aptos" w:eastAsia="Aptos" w:hAnsi="Aptos" w:cs="Aptos"/>
        <w:color w:val="000000"/>
        <w:sz w:val="20"/>
        <w:szCs w:val="20"/>
      </w:rPr>
      <w:instrText>PAGE</w:instrText>
    </w:r>
    <w:r>
      <w:rPr>
        <w:rFonts w:ascii="Aptos" w:eastAsia="Aptos" w:hAnsi="Aptos" w:cs="Aptos"/>
        <w:color w:val="000000"/>
        <w:sz w:val="20"/>
        <w:szCs w:val="20"/>
      </w:rPr>
      <w:fldChar w:fldCharType="separate"/>
    </w:r>
    <w:r w:rsidR="005253C7">
      <w:rPr>
        <w:rFonts w:ascii="Aptos" w:eastAsia="Aptos" w:hAnsi="Aptos" w:cs="Aptos"/>
        <w:noProof/>
        <w:color w:val="000000"/>
        <w:sz w:val="20"/>
        <w:szCs w:val="20"/>
      </w:rPr>
      <w:t>1</w:t>
    </w:r>
    <w:r>
      <w:rPr>
        <w:rFonts w:ascii="Aptos" w:eastAsia="Aptos" w:hAnsi="Aptos" w:cs="Aptos"/>
        <w:color w:val="000000"/>
        <w:sz w:val="20"/>
        <w:szCs w:val="20"/>
      </w:rPr>
      <w:fldChar w:fldCharType="end"/>
    </w:r>
  </w:p>
  <w:p w14:paraId="75463DAC" w14:textId="77777777" w:rsidR="00994470" w:rsidRDefault="00000000">
    <w:pPr>
      <w:tabs>
        <w:tab w:val="center" w:pos="4513"/>
        <w:tab w:val="right" w:pos="9026"/>
      </w:tabs>
      <w:spacing w:before="240" w:line="276" w:lineRule="auto"/>
      <w:ind w:right="360"/>
      <w:rPr>
        <w:rFonts w:ascii="Aptos" w:eastAsia="Aptos" w:hAnsi="Aptos" w:cs="Aptos"/>
        <w:sz w:val="20"/>
        <w:szCs w:val="20"/>
      </w:rPr>
    </w:pPr>
    <w:r>
      <w:rPr>
        <w:rFonts w:ascii="Aptos" w:eastAsia="Aptos" w:hAnsi="Aptos" w:cs="Aptos"/>
        <w:sz w:val="20"/>
        <w:szCs w:val="20"/>
      </w:rPr>
      <w:t>Registered Charity Numbers 1164009 (England &amp; Wales), SC047256 (Scotland)</w:t>
    </w:r>
    <w:r>
      <w:rPr>
        <w:rFonts w:ascii="Aptos" w:eastAsia="Aptos" w:hAnsi="Aptos" w:cs="Aptos"/>
        <w:sz w:val="20"/>
        <w:szCs w:val="20"/>
      </w:rPr>
      <w:tab/>
    </w:r>
  </w:p>
  <w:p w14:paraId="22B8F4B6" w14:textId="77777777" w:rsidR="00994470" w:rsidRDefault="00994470">
    <w:pPr>
      <w:spacing w:line="200" w:lineRule="auto"/>
      <w:rPr>
        <w:rFonts w:ascii="Aptos" w:eastAsia="Aptos" w:hAnsi="Aptos" w:cs="Aptos"/>
        <w:sz w:val="20"/>
        <w:szCs w:val="20"/>
      </w:rPr>
    </w:pPr>
  </w:p>
  <w:p w14:paraId="2C909C19" w14:textId="77777777" w:rsidR="00994470" w:rsidRDefault="00000000">
    <w:pPr>
      <w:spacing w:line="200" w:lineRule="auto"/>
      <w:rPr>
        <w:rFonts w:ascii="Aptos" w:eastAsia="Aptos" w:hAnsi="Aptos" w:cs="Aptos"/>
        <w:i/>
        <w:iCs/>
        <w:sz w:val="20"/>
        <w:szCs w:val="20"/>
      </w:rPr>
    </w:pPr>
    <w:r>
      <w:rPr>
        <w:rFonts w:ascii="Aptos" w:eastAsia="Aptos" w:hAnsi="Aptos" w:cs="Aptos"/>
        <w:i/>
        <w:iCs/>
        <w:sz w:val="20"/>
        <w:szCs w:val="20"/>
      </w:rPr>
      <w:t>APEL Reflective Account Form ABT 20 October 2026 (V3)</w:t>
    </w:r>
  </w:p>
  <w:p w14:paraId="42C1247A" w14:textId="77777777" w:rsidR="00994470" w:rsidRDefault="00994470">
    <w:pPr>
      <w:spacing w:line="200" w:lineRule="auto"/>
      <w:jc w:val="right"/>
      <w:rPr>
        <w:rFonts w:ascii="Aptos" w:eastAsia="Aptos" w:hAnsi="Aptos" w:cs="Apto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B1AFF" w14:textId="77777777" w:rsidR="001A35A7" w:rsidRDefault="001A35A7">
      <w:r>
        <w:separator/>
      </w:r>
    </w:p>
  </w:footnote>
  <w:footnote w:type="continuationSeparator" w:id="0">
    <w:p w14:paraId="5A30E85B" w14:textId="77777777" w:rsidR="001A35A7" w:rsidRDefault="001A3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A294" w14:textId="77777777" w:rsidR="00994470" w:rsidRDefault="00994470">
    <w:pPr>
      <w:pBdr>
        <w:top w:val="nil"/>
        <w:left w:val="nil"/>
        <w:bottom w:val="nil"/>
        <w:right w:val="nil"/>
        <w:between w:val="nil"/>
      </w:pBdr>
      <w:tabs>
        <w:tab w:val="center" w:pos="4320"/>
        <w:tab w:val="right" w:pos="8640"/>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CB83" w14:textId="77777777" w:rsidR="00994470" w:rsidRDefault="00000000">
    <w:pPr>
      <w:pBdr>
        <w:top w:val="nil"/>
        <w:left w:val="nil"/>
        <w:bottom w:val="nil"/>
        <w:right w:val="nil"/>
        <w:between w:val="nil"/>
      </w:pBdr>
      <w:tabs>
        <w:tab w:val="center" w:pos="4320"/>
        <w:tab w:val="right" w:pos="8640"/>
        <w:tab w:val="left" w:pos="1820"/>
      </w:tabs>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73BBC"/>
    <w:multiLevelType w:val="multilevel"/>
    <w:tmpl w:val="B5389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DD5732"/>
    <w:multiLevelType w:val="multilevel"/>
    <w:tmpl w:val="BB0A28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61054032">
    <w:abstractNumId w:val="1"/>
  </w:num>
  <w:num w:numId="2" w16cid:durableId="736368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470"/>
    <w:rsid w:val="001A35A7"/>
    <w:rsid w:val="005253C7"/>
    <w:rsid w:val="00994470"/>
    <w:rsid w:val="009C1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6B5F5"/>
  <w15:docId w15:val="{4AE44BAF-1C6D-4737-AACA-FD7D0E7CA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8B75D4"/>
    <w:rPr>
      <w:rFonts w:ascii="Lucida Grande" w:hAnsi="Lucida Grande"/>
      <w:sz w:val="18"/>
      <w:szCs w:val="18"/>
    </w:rPr>
  </w:style>
  <w:style w:type="character" w:customStyle="1" w:styleId="BalloonTextChar">
    <w:name w:val="Balloon Text Char"/>
    <w:link w:val="BalloonText"/>
    <w:uiPriority w:val="99"/>
    <w:semiHidden/>
    <w:rsid w:val="008B75D4"/>
    <w:rPr>
      <w:rFonts w:ascii="Lucida Grande" w:hAnsi="Lucida Grande"/>
      <w:sz w:val="18"/>
      <w:szCs w:val="18"/>
    </w:rPr>
  </w:style>
  <w:style w:type="paragraph" w:styleId="Header">
    <w:name w:val="header"/>
    <w:basedOn w:val="Normal"/>
    <w:link w:val="HeaderChar"/>
    <w:uiPriority w:val="99"/>
    <w:unhideWhenUsed/>
    <w:rsid w:val="008B75D4"/>
    <w:pPr>
      <w:tabs>
        <w:tab w:val="center" w:pos="4320"/>
        <w:tab w:val="right" w:pos="8640"/>
      </w:tabs>
    </w:pPr>
  </w:style>
  <w:style w:type="character" w:customStyle="1" w:styleId="HeaderChar">
    <w:name w:val="Header Char"/>
    <w:basedOn w:val="DefaultParagraphFont"/>
    <w:link w:val="Header"/>
    <w:uiPriority w:val="99"/>
    <w:rsid w:val="008B75D4"/>
  </w:style>
  <w:style w:type="paragraph" w:styleId="Footer">
    <w:name w:val="footer"/>
    <w:basedOn w:val="Normal"/>
    <w:link w:val="FooterChar"/>
    <w:uiPriority w:val="99"/>
    <w:unhideWhenUsed/>
    <w:rsid w:val="008B75D4"/>
    <w:pPr>
      <w:tabs>
        <w:tab w:val="center" w:pos="4320"/>
        <w:tab w:val="right" w:pos="8640"/>
      </w:tabs>
    </w:pPr>
  </w:style>
  <w:style w:type="character" w:customStyle="1" w:styleId="FooterChar">
    <w:name w:val="Footer Char"/>
    <w:basedOn w:val="DefaultParagraphFont"/>
    <w:link w:val="Footer"/>
    <w:uiPriority w:val="99"/>
    <w:rsid w:val="008B75D4"/>
  </w:style>
  <w:style w:type="paragraph" w:customStyle="1" w:styleId="NoParagraphStyle">
    <w:name w:val="[No Paragraph Style]"/>
    <w:rsid w:val="008B75D4"/>
    <w:pPr>
      <w:widowControl w:val="0"/>
      <w:autoSpaceDE w:val="0"/>
      <w:autoSpaceDN w:val="0"/>
      <w:adjustRightInd w:val="0"/>
      <w:spacing w:line="288" w:lineRule="auto"/>
      <w:textAlignment w:val="center"/>
    </w:pPr>
    <w:rPr>
      <w:rFonts w:ascii="MinionPro-Regular" w:hAnsi="MinionPro-Regular" w:cs="MinionPro-Regular"/>
      <w:color w:val="000000"/>
      <w:lang w:eastAsia="en-US"/>
    </w:rPr>
  </w:style>
  <w:style w:type="table" w:styleId="TableGrid">
    <w:name w:val="Table Grid"/>
    <w:basedOn w:val="TableNormal"/>
    <w:uiPriority w:val="59"/>
    <w:rsid w:val="008B7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ParagraphStyle"/>
    <w:uiPriority w:val="99"/>
    <w:rsid w:val="008B75D4"/>
  </w:style>
  <w:style w:type="character" w:customStyle="1" w:styleId="NMCWhite">
    <w:name w:val="NMC White"/>
    <w:uiPriority w:val="99"/>
    <w:rsid w:val="008B75D4"/>
    <w:rPr>
      <w:rFonts w:ascii="FoundryMonoline-ExtraBold" w:hAnsi="FoundryMonoline-ExtraBold" w:cs="FoundryMonoline-ExtraBold"/>
      <w:color w:val="FFFFFF"/>
    </w:rPr>
  </w:style>
  <w:style w:type="paragraph" w:styleId="ListParagraph">
    <w:name w:val="List Paragraph"/>
    <w:basedOn w:val="Normal"/>
    <w:uiPriority w:val="34"/>
    <w:qFormat/>
    <w:rsid w:val="00095EE4"/>
    <w:pPr>
      <w:widowControl w:val="0"/>
      <w:spacing w:after="200" w:line="276" w:lineRule="auto"/>
      <w:ind w:left="720"/>
      <w:contextualSpacing/>
    </w:pPr>
    <w:rPr>
      <w:rFonts w:ascii="Calibri" w:eastAsia="Calibri" w:hAnsi="Calibri"/>
      <w:sz w:val="22"/>
      <w:szCs w:val="22"/>
    </w:rPr>
  </w:style>
  <w:style w:type="character" w:customStyle="1" w:styleId="NMCTeal">
    <w:name w:val="NMC Teal"/>
    <w:uiPriority w:val="99"/>
    <w:rsid w:val="000D7F7A"/>
    <w:rPr>
      <w:rFonts w:ascii="FoundryMonoline-ExtraBold" w:hAnsi="FoundryMonoline-ExtraBold" w:cs="FoundryMonoline-ExtraBold"/>
      <w:color w:val="00AEC4"/>
    </w:rPr>
  </w:style>
  <w:style w:type="character" w:styleId="Strong">
    <w:name w:val="Strong"/>
    <w:basedOn w:val="DefaultParagraphFont"/>
    <w:uiPriority w:val="22"/>
    <w:qFormat/>
    <w:rsid w:val="00AA52A9"/>
    <w:rPr>
      <w:b/>
      <w:bCs/>
    </w:rPr>
  </w:style>
  <w:style w:type="paragraph" w:styleId="NormalWeb">
    <w:name w:val="Normal (Web)"/>
    <w:basedOn w:val="Normal"/>
    <w:uiPriority w:val="99"/>
    <w:semiHidden/>
    <w:unhideWhenUsed/>
    <w:rsid w:val="00B91948"/>
    <w:rPr>
      <w:rFonts w:ascii="Times New Roman" w:hAnsi="Times New Roman"/>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character" w:styleId="PageNumber">
    <w:name w:val="page number"/>
    <w:basedOn w:val="DefaultParagraphFont"/>
    <w:uiPriority w:val="99"/>
    <w:semiHidden/>
    <w:unhideWhenUsed/>
    <w:rsid w:val="00247E7D"/>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btc.org.uk/wp-content/uploads/2025/12/ABTC-Standard-Animal-Behaviour-Technician-December-2024.pdf"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Btqzp9dEPk7DOj0goqod1NNjDg==">CgMxLjA4AGolChRzdWdnZXN0Lm9scThtcHh3aG1lYRINTmljb2xlIEhhcnJpc2olChRzdWdnZXN0LjRoMjZwdGh6MmE0ZBINTmljb2xlIEhhcnJpc2olChRzdWdnZXN0Lm96bHY1OHY3NmN1dBINTmljb2xlIEhhcnJpc2olChRzdWdnZXN0LnF3OTdnaG93MTBoaRINTmljb2xlIEhhcnJpc2olChRzdWdnZXN0LmdqanJuazc5Ymg1ahINTmljb2xlIEhhcnJpc2olChRzdWdnZXN0Lnl0N21rbGd5dG51cRINTmljb2xlIEhhcnJpc3IhMWExWFpBVENHTlMzUGU3RExCS2tjQ1ZmWnp5dEtSTWR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1298</Words>
  <Characters>7400</Characters>
  <Application>Microsoft Office Word</Application>
  <DocSecurity>0</DocSecurity>
  <Lines>61</Lines>
  <Paragraphs>17</Paragraphs>
  <ScaleCrop>false</ScaleCrop>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NMC</dc:creator>
  <cp:lastModifiedBy>Val Harvey</cp:lastModifiedBy>
  <cp:revision>2</cp:revision>
  <dcterms:created xsi:type="dcterms:W3CDTF">2026-10-22T14:15:00Z</dcterms:created>
  <dcterms:modified xsi:type="dcterms:W3CDTF">2026-10-22T14:15:00Z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0x010100D960118D3A668E43AA04EE24AA2E08C1</vt:lpwstr>
  </property>
</Properties>
</file>