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48A37" w14:textId="77777777" w:rsidR="00374D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-194"/>
        <w:jc w:val="right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noProof/>
          <w:color w:val="000000"/>
        </w:rPr>
        <w:drawing>
          <wp:inline distT="0" distB="0" distL="0" distR="0" wp14:anchorId="24AD747B" wp14:editId="2D5A5047">
            <wp:extent cx="1324431" cy="697069"/>
            <wp:effectExtent l="0" t="0" r="0" b="0"/>
            <wp:docPr id="17386510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4431" cy="697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775072" w14:textId="77777777" w:rsidR="00374D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-489"/>
        <w:rPr>
          <w:rFonts w:ascii="Aptos" w:eastAsia="Aptos" w:hAnsi="Aptos" w:cs="Aptos"/>
          <w:b/>
          <w:bCs/>
          <w:color w:val="000000"/>
          <w:sz w:val="28"/>
          <w:szCs w:val="28"/>
        </w:rPr>
      </w:pPr>
      <w:r>
        <w:rPr>
          <w:rFonts w:ascii="Aptos" w:eastAsia="Aptos" w:hAnsi="Aptos" w:cs="Aptos"/>
          <w:b/>
          <w:bCs/>
          <w:color w:val="000000"/>
          <w:sz w:val="28"/>
          <w:szCs w:val="28"/>
        </w:rPr>
        <w:t>APEL Reflective Account Form (CAB)</w:t>
      </w:r>
    </w:p>
    <w:p w14:paraId="745617E7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-709" w:right="-52"/>
        <w:rPr>
          <w:rFonts w:ascii="Aptos" w:eastAsia="Aptos" w:hAnsi="Aptos" w:cs="Aptos"/>
          <w:color w:val="000000"/>
          <w:sz w:val="22"/>
          <w:szCs w:val="22"/>
        </w:rPr>
      </w:pPr>
    </w:p>
    <w:p w14:paraId="25DFE7BD" w14:textId="77777777" w:rsidR="00374D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A reflective account should give examples of how your experience and learning has allowed you to acquire the Knowledge</w:t>
      </w:r>
      <w:r>
        <w:rPr>
          <w:rFonts w:ascii="Aptos" w:eastAsia="Aptos" w:hAnsi="Aptos" w:cs="Aptos"/>
          <w:sz w:val="22"/>
          <w:szCs w:val="22"/>
        </w:rPr>
        <w:t xml:space="preserve"> </w:t>
      </w:r>
      <w:r>
        <w:rPr>
          <w:rFonts w:ascii="Aptos" w:eastAsia="Aptos" w:hAnsi="Aptos" w:cs="Aptos"/>
          <w:color w:val="000000"/>
          <w:sz w:val="22"/>
          <w:szCs w:val="22"/>
        </w:rPr>
        <w:t>and Understanding for each of the K&amp;U.  For further information please refer to the APEL Guidance Document (</w:t>
      </w:r>
      <w:r>
        <w:rPr>
          <w:rFonts w:ascii="Aptos" w:eastAsia="Aptos" w:hAnsi="Aptos" w:cs="Aptos"/>
          <w:i/>
          <w:iCs/>
          <w:color w:val="000000"/>
          <w:sz w:val="22"/>
          <w:szCs w:val="22"/>
        </w:rPr>
        <w:t>specifically Section 6. K&amp;U levels, Section 8.3.4 Reflective account forms and Section 8.3.5.2 Illustrative cases and scenarios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). </w:t>
      </w:r>
    </w:p>
    <w:p w14:paraId="19CA0A04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76EEF273" w14:textId="77777777" w:rsidR="00374D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Please use one reflective account form for each Knowledge &amp; Understanding section (see below). </w:t>
      </w:r>
    </w:p>
    <w:p w14:paraId="47D80C0E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tbl>
      <w:tblPr>
        <w:tblStyle w:val="a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374D10" w14:paraId="04B16FA7" w14:textId="77777777">
        <w:tc>
          <w:tcPr>
            <w:tcW w:w="9209" w:type="dxa"/>
          </w:tcPr>
          <w:p w14:paraId="46534CAD" w14:textId="77777777" w:rsidR="00374D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2"/>
                <w:szCs w:val="22"/>
              </w:rPr>
              <w:t>Clinical Animal Behaviourist (CAB)</w:t>
            </w:r>
          </w:p>
        </w:tc>
      </w:tr>
      <w:tr w:rsidR="00374D10" w14:paraId="11DC8826" w14:textId="77777777">
        <w:tc>
          <w:tcPr>
            <w:tcW w:w="9209" w:type="dxa"/>
          </w:tcPr>
          <w:p w14:paraId="2615153D" w14:textId="77777777" w:rsidR="00374D1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Animal Behaviour</w:t>
            </w:r>
          </w:p>
        </w:tc>
      </w:tr>
      <w:tr w:rsidR="00374D10" w14:paraId="7C8C3B38" w14:textId="77777777">
        <w:tc>
          <w:tcPr>
            <w:tcW w:w="9209" w:type="dxa"/>
          </w:tcPr>
          <w:p w14:paraId="545FDC1E" w14:textId="77777777" w:rsidR="00374D1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Animal Health and Welfare</w:t>
            </w:r>
          </w:p>
        </w:tc>
      </w:tr>
      <w:tr w:rsidR="00374D10" w14:paraId="73CA863A" w14:textId="77777777">
        <w:tc>
          <w:tcPr>
            <w:tcW w:w="9209" w:type="dxa"/>
          </w:tcPr>
          <w:p w14:paraId="2AC8C8C2" w14:textId="77777777" w:rsidR="00374D1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Animal Learning and Training</w:t>
            </w:r>
          </w:p>
        </w:tc>
      </w:tr>
      <w:tr w:rsidR="00374D10" w14:paraId="111C0A08" w14:textId="77777777">
        <w:tc>
          <w:tcPr>
            <w:tcW w:w="9209" w:type="dxa"/>
          </w:tcPr>
          <w:p w14:paraId="3B8C5169" w14:textId="77777777" w:rsidR="00374D1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The Interaction between Health and Behaviour</w:t>
            </w:r>
          </w:p>
        </w:tc>
      </w:tr>
      <w:tr w:rsidR="00374D10" w14:paraId="16E5D275" w14:textId="77777777">
        <w:tc>
          <w:tcPr>
            <w:tcW w:w="9209" w:type="dxa"/>
          </w:tcPr>
          <w:p w14:paraId="7BB9830F" w14:textId="77777777" w:rsidR="00374D1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Clinical Procedures</w:t>
            </w:r>
          </w:p>
        </w:tc>
      </w:tr>
      <w:tr w:rsidR="00374D10" w14:paraId="49F816FD" w14:textId="77777777">
        <w:tc>
          <w:tcPr>
            <w:tcW w:w="9209" w:type="dxa"/>
          </w:tcPr>
          <w:p w14:paraId="09C79DA9" w14:textId="77777777" w:rsidR="00374D1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Law and Ethics</w:t>
            </w:r>
          </w:p>
        </w:tc>
      </w:tr>
      <w:tr w:rsidR="00374D10" w14:paraId="2BD2F194" w14:textId="77777777">
        <w:tc>
          <w:tcPr>
            <w:tcW w:w="9209" w:type="dxa"/>
          </w:tcPr>
          <w:p w14:paraId="4D96C366" w14:textId="77777777" w:rsidR="00374D1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Critical Analysis and Research</w:t>
            </w:r>
          </w:p>
        </w:tc>
      </w:tr>
    </w:tbl>
    <w:p w14:paraId="568A8638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1B4BE8D0" w14:textId="77777777" w:rsidR="00374D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Please make sure you do not include any information that might identify a specific client, service user, colleague or other individuals. </w:t>
      </w:r>
    </w:p>
    <w:p w14:paraId="4A2F3E91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118013B3" w14:textId="77777777" w:rsidR="00374D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If you refer to any additional supporting documents </w:t>
      </w:r>
      <w:proofErr w:type="spellStart"/>
      <w:r>
        <w:rPr>
          <w:rFonts w:ascii="Aptos" w:eastAsia="Aptos" w:hAnsi="Aptos" w:cs="Aptos"/>
          <w:sz w:val="22"/>
          <w:szCs w:val="22"/>
        </w:rPr>
        <w:t>eg</w:t>
      </w:r>
      <w:proofErr w:type="spellEnd"/>
      <w:r>
        <w:rPr>
          <w:rFonts w:ascii="Aptos" w:eastAsia="Aptos" w:hAnsi="Aptos" w:cs="Aptos"/>
          <w:color w:val="000000"/>
          <w:sz w:val="22"/>
          <w:szCs w:val="22"/>
        </w:rPr>
        <w:t xml:space="preserve"> cases or scenarios, please make it clear which these are.  </w:t>
      </w:r>
    </w:p>
    <w:p w14:paraId="79807764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50712E77" w14:textId="77777777" w:rsidR="00374D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If you discuss something in an example that touches on another K&amp;U (relevant to another Reflective Account form), please indicate the K&amp;U in brackets so your Assessors can easily note it </w:t>
      </w:r>
      <w:proofErr w:type="spellStart"/>
      <w:r>
        <w:rPr>
          <w:rFonts w:ascii="Aptos" w:eastAsia="Aptos" w:hAnsi="Aptos" w:cs="Aptos"/>
          <w:i/>
          <w:iCs/>
          <w:sz w:val="22"/>
          <w:szCs w:val="22"/>
        </w:rPr>
        <w:t>eg</w:t>
      </w:r>
      <w:proofErr w:type="spellEnd"/>
      <w:r>
        <w:rPr>
          <w:rFonts w:ascii="Aptos" w:eastAsia="Aptos" w:hAnsi="Aptos" w:cs="Aptos"/>
          <w:i/>
          <w:iCs/>
          <w:color w:val="000000"/>
          <w:sz w:val="22"/>
          <w:szCs w:val="22"/>
        </w:rPr>
        <w:t xml:space="preserve"> (K&amp;U12).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      </w:t>
      </w:r>
    </w:p>
    <w:p w14:paraId="21105DBB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0BE881E3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71CBA8B8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2D149115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090E9E3C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10D921D7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74F3F7DD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4E78D36B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0C538C90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7C4417DF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5B54C29E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5DBB03EF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-709" w:right="-489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9072" w:type="dxa"/>
        <w:tblInd w:w="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2"/>
      </w:tblGrid>
      <w:tr w:rsidR="00374D10" w14:paraId="1CFC72D6" w14:textId="77777777">
        <w:tc>
          <w:tcPr>
            <w:tcW w:w="9072" w:type="dxa"/>
            <w:tcMar>
              <w:top w:w="113" w:type="dxa"/>
              <w:bottom w:w="113" w:type="dxa"/>
              <w:right w:w="567" w:type="dxa"/>
            </w:tcMar>
            <w:vAlign w:val="center"/>
          </w:tcPr>
          <w:p w14:paraId="6A92CE2D" w14:textId="77777777" w:rsidR="00374D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567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Applicant Name:</w:t>
            </w:r>
          </w:p>
        </w:tc>
      </w:tr>
      <w:tr w:rsidR="00374D10" w14:paraId="503E25C8" w14:textId="77777777">
        <w:tc>
          <w:tcPr>
            <w:tcW w:w="9072" w:type="dxa"/>
            <w:tcMar>
              <w:top w:w="113" w:type="dxa"/>
              <w:bottom w:w="113" w:type="dxa"/>
              <w:right w:w="567" w:type="dxa"/>
            </w:tcMar>
            <w:vAlign w:val="center"/>
          </w:tcPr>
          <w:p w14:paraId="1BCE3118" w14:textId="77777777" w:rsidR="00374D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567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Knowledge &amp; Understanding Section: </w:t>
            </w:r>
            <w:r>
              <w:rPr>
                <w:rFonts w:ascii="Aptos" w:eastAsia="Aptos" w:hAnsi="Aptos" w:cs="Aptos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ptos" w:eastAsia="Aptos" w:hAnsi="Aptos" w:cs="Aptos"/>
                <w:i/>
                <w:iCs/>
                <w:sz w:val="20"/>
                <w:szCs w:val="20"/>
              </w:rPr>
              <w:t>eg</w:t>
            </w:r>
            <w:proofErr w:type="spellEnd"/>
            <w:r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 xml:space="preserve"> Section 1 - Animal Behaviour</w:t>
            </w:r>
          </w:p>
        </w:tc>
      </w:tr>
      <w:tr w:rsidR="00374D10" w14:paraId="315D6BB8" w14:textId="77777777">
        <w:tc>
          <w:tcPr>
            <w:tcW w:w="9072" w:type="dxa"/>
            <w:tcMar>
              <w:top w:w="113" w:type="dxa"/>
              <w:bottom w:w="113" w:type="dxa"/>
              <w:right w:w="567" w:type="dxa"/>
            </w:tcMar>
            <w:vAlign w:val="center"/>
          </w:tcPr>
          <w:p w14:paraId="7B3C4F1B" w14:textId="77777777" w:rsidR="00374D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Explain how </w:t>
            </w:r>
            <w:proofErr w:type="gramStart"/>
            <w:r>
              <w:rPr>
                <w:rFonts w:ascii="Aptos" w:eastAsia="Aptos" w:hAnsi="Aptos" w:cs="Aptos"/>
                <w:b/>
                <w:bCs/>
                <w:color w:val="000000"/>
              </w:rPr>
              <w:t>your</w:t>
            </w:r>
            <w:proofErr w:type="gramEnd"/>
            <w:r>
              <w:rPr>
                <w:rFonts w:ascii="Aptos" w:eastAsia="Aptos" w:hAnsi="Aptos" w:cs="Aptos"/>
                <w:b/>
                <w:bCs/>
                <w:color w:val="000000"/>
              </w:rPr>
              <w:t xml:space="preserve"> learning and/or experience is relevant to the CAB role, and as such, meets the K&amp;U for this section.</w:t>
            </w:r>
          </w:p>
          <w:p w14:paraId="53B3BCC3" w14:textId="77777777" w:rsidR="00374D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 xml:space="preserve">The purpose of the reflective account is to show us how you </w:t>
            </w:r>
            <w:proofErr w:type="gramStart"/>
            <w:r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>are able to</w:t>
            </w:r>
            <w:proofErr w:type="gramEnd"/>
            <w:r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 xml:space="preserve"> draw on all your knowledge and understanding for each section, referring to a variety of species. Within this you should consider and critically evaluate different ideas and theories, showing us </w:t>
            </w:r>
            <w:r>
              <w:rPr>
                <w:rFonts w:ascii="Aptos" w:eastAsia="Aptos" w:hAnsi="Aptos" w:cs="Aptos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how and why</w:t>
            </w:r>
            <w:r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 xml:space="preserve"> you have selected these to demonstrate </w:t>
            </w:r>
            <w:r>
              <w:rPr>
                <w:rFonts w:ascii="Aptos" w:eastAsia="Aptos" w:hAnsi="Aptos" w:cs="Aptos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how and why</w:t>
            </w:r>
            <w:r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 xml:space="preserve"> you might address a specific problem in a specific way.</w:t>
            </w:r>
          </w:p>
        </w:tc>
      </w:tr>
      <w:tr w:rsidR="00374D10" w14:paraId="6FF0BB98" w14:textId="77777777">
        <w:tc>
          <w:tcPr>
            <w:tcW w:w="9072" w:type="dxa"/>
            <w:tcMar>
              <w:top w:w="113" w:type="dxa"/>
              <w:bottom w:w="113" w:type="dxa"/>
              <w:right w:w="567" w:type="dxa"/>
            </w:tcMar>
            <w:vAlign w:val="center"/>
          </w:tcPr>
          <w:p w14:paraId="67FA3461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04B85278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2E408848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7CB8FEF4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6019DDCF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5B5F421D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70782C4C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4D4850AD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6A4BDA6E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  <w:p w14:paraId="7B07A924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color w:val="000000"/>
              </w:rPr>
            </w:pPr>
          </w:p>
        </w:tc>
      </w:tr>
      <w:tr w:rsidR="00374D10" w14:paraId="251D5107" w14:textId="77777777">
        <w:tc>
          <w:tcPr>
            <w:tcW w:w="9072" w:type="dxa"/>
            <w:tcMar>
              <w:top w:w="113" w:type="dxa"/>
              <w:bottom w:w="113" w:type="dxa"/>
              <w:right w:w="567" w:type="dxa"/>
            </w:tcMar>
          </w:tcPr>
          <w:p w14:paraId="01599741" w14:textId="77777777" w:rsidR="00374D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b/>
                <w:bCs/>
                <w:color w:val="000000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</w:rPr>
              <w:t>How has this learning and/or experience (as described above) changed your views or approach to practice</w:t>
            </w:r>
          </w:p>
          <w:p w14:paraId="650C54C7" w14:textId="77777777" w:rsidR="00374D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Aptos" w:eastAsia="Aptos" w:hAnsi="Aptos" w:cs="Aptos"/>
                <w:i/>
                <w:iCs/>
                <w:color w:val="000000"/>
              </w:rPr>
            </w:pPr>
            <w:r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>You may wish to include some examples (if different to above) to support your answers.</w:t>
            </w:r>
          </w:p>
        </w:tc>
      </w:tr>
      <w:tr w:rsidR="00374D10" w14:paraId="7347BECB" w14:textId="77777777">
        <w:tc>
          <w:tcPr>
            <w:tcW w:w="9072" w:type="dxa"/>
            <w:tcMar>
              <w:top w:w="113" w:type="dxa"/>
              <w:bottom w:w="113" w:type="dxa"/>
              <w:right w:w="567" w:type="dxa"/>
            </w:tcMar>
            <w:vAlign w:val="center"/>
          </w:tcPr>
          <w:p w14:paraId="70BA4CB6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361DD3C9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31528EA0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47366A57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D9A59C2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75722C42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3818D670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2BE76746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6771A113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D3D3C08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134C87D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60FC251F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4428FB91" w14:textId="77777777" w:rsidR="00374D10" w:rsidRDefault="00374D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-42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26F58C6" w14:textId="77777777" w:rsidR="00374D10" w:rsidRDefault="00374D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-489"/>
        <w:rPr>
          <w:rFonts w:ascii="Arial" w:eastAsia="Arial" w:hAnsi="Arial" w:cs="Arial"/>
          <w:color w:val="000000"/>
        </w:rPr>
      </w:pPr>
    </w:p>
    <w:sectPr w:rsidR="00374D10"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1021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AA77A" w14:textId="77777777" w:rsidR="00372D8E" w:rsidRDefault="00372D8E">
      <w:r>
        <w:separator/>
      </w:r>
    </w:p>
  </w:endnote>
  <w:endnote w:type="continuationSeparator" w:id="0">
    <w:p w14:paraId="4DFCE380" w14:textId="77777777" w:rsidR="00372D8E" w:rsidRDefault="00372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B0C2A66-AC1F-DA4F-97CD-05CAAF16E478}"/>
    <w:embedBold r:id="rId2" w:fontKey="{61E17004-6686-D940-A70E-2653CD6E5D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0344AC-8C2C-1344-8BCF-FA4FFB3D2EC0}"/>
    <w:embedBold r:id="rId4" w:fontKey="{61EEE86E-553C-4D44-BAFA-8B3F1E5EFFF9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00"/>
    <w:family w:val="roman"/>
    <w:notTrueType/>
    <w:pitch w:val="default"/>
  </w:font>
  <w:font w:name="FoundryMonoline-ExtraBold">
    <w:altName w:val="Calibri"/>
    <w:panose1 w:val="020B0604020202020204"/>
    <w:charset w:val="00"/>
    <w:family w:val="auto"/>
    <w:pitch w:val="variable"/>
    <w:sig w:usb0="80000027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F2C1093-9C7D-2C4A-A17B-7E9D686AFF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D17B0C83-6060-3349-A3CE-FE49ED611F4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B643F095-3B0A-F246-8500-195641BDA3C9}"/>
    <w:embedBold r:id="rId11" w:fontKey="{A754B623-E17E-3542-85E1-0432A60AE7A5}"/>
    <w:embedItalic r:id="rId12" w:fontKey="{6EA9A63A-0DD9-944C-9272-3DB45752F04D}"/>
    <w:embedBoldItalic r:id="rId13" w:fontKey="{9B6EB830-5583-C847-A5A9-2A82204107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9E996188-CF95-D741-9C4B-0646582741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69133263-0CF4-B545-A88D-D51C9D11C3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00716572"/>
      <w:docPartObj>
        <w:docPartGallery w:val="Page Numbers (Bottom of Page)"/>
        <w:docPartUnique/>
      </w:docPartObj>
    </w:sdtPr>
    <w:sdtContent>
      <w:p w14:paraId="66DD261F" w14:textId="6DE23A00" w:rsidR="00C2523C" w:rsidRDefault="00C2523C" w:rsidP="00074FE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872F63E" w14:textId="77777777" w:rsidR="00C2523C" w:rsidRDefault="00C2523C" w:rsidP="00C2523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36427048"/>
      <w:docPartObj>
        <w:docPartGallery w:val="Page Numbers (Bottom of Page)"/>
        <w:docPartUnique/>
      </w:docPartObj>
    </w:sdtPr>
    <w:sdtContent>
      <w:p w14:paraId="08149307" w14:textId="7C56FFAA" w:rsidR="00C2523C" w:rsidRDefault="00C2523C" w:rsidP="00074FE0">
        <w:pPr>
          <w:pStyle w:val="Footer"/>
          <w:framePr w:wrap="none" w:vAnchor="text" w:hAnchor="margin" w:xAlign="right" w:y="1"/>
          <w:rPr>
            <w:rStyle w:val="PageNumber"/>
          </w:rPr>
        </w:pPr>
        <w:r w:rsidRPr="00C2523C">
          <w:rPr>
            <w:rStyle w:val="PageNumber"/>
            <w:rFonts w:ascii="Aptos" w:hAnsi="Aptos"/>
            <w:sz w:val="20"/>
            <w:szCs w:val="20"/>
          </w:rPr>
          <w:fldChar w:fldCharType="begin"/>
        </w:r>
        <w:r w:rsidRPr="00C2523C">
          <w:rPr>
            <w:rStyle w:val="PageNumber"/>
            <w:rFonts w:ascii="Aptos" w:hAnsi="Aptos"/>
            <w:sz w:val="20"/>
            <w:szCs w:val="20"/>
          </w:rPr>
          <w:instrText xml:space="preserve"> PAGE </w:instrText>
        </w:r>
        <w:r w:rsidRPr="00C2523C">
          <w:rPr>
            <w:rStyle w:val="PageNumber"/>
            <w:rFonts w:ascii="Aptos" w:hAnsi="Aptos"/>
            <w:sz w:val="20"/>
            <w:szCs w:val="20"/>
          </w:rPr>
          <w:fldChar w:fldCharType="separate"/>
        </w:r>
        <w:r w:rsidRPr="00C2523C">
          <w:rPr>
            <w:rStyle w:val="PageNumber"/>
            <w:rFonts w:ascii="Aptos" w:hAnsi="Aptos"/>
            <w:noProof/>
            <w:sz w:val="20"/>
            <w:szCs w:val="20"/>
          </w:rPr>
          <w:t>1</w:t>
        </w:r>
        <w:r w:rsidRPr="00C2523C">
          <w:rPr>
            <w:rStyle w:val="PageNumber"/>
            <w:rFonts w:ascii="Aptos" w:hAnsi="Aptos"/>
            <w:sz w:val="20"/>
            <w:szCs w:val="20"/>
          </w:rPr>
          <w:fldChar w:fldCharType="end"/>
        </w:r>
      </w:p>
    </w:sdtContent>
  </w:sdt>
  <w:p w14:paraId="302C004C" w14:textId="35B3A118" w:rsidR="00C2523C" w:rsidRPr="00C2523C" w:rsidRDefault="00C2523C" w:rsidP="00C2523C">
    <w:pPr>
      <w:tabs>
        <w:tab w:val="center" w:pos="4513"/>
        <w:tab w:val="right" w:pos="9026"/>
      </w:tabs>
      <w:spacing w:before="240" w:line="276" w:lineRule="auto"/>
      <w:ind w:right="360"/>
      <w:rPr>
        <w:rFonts w:ascii="Aptos" w:hAnsi="Aptos"/>
        <w:sz w:val="20"/>
        <w:szCs w:val="20"/>
      </w:rPr>
    </w:pPr>
    <w:r w:rsidRPr="00C2523C">
      <w:rPr>
        <w:rFonts w:ascii="Aptos" w:hAnsi="Aptos"/>
        <w:sz w:val="20"/>
        <w:szCs w:val="20"/>
      </w:rPr>
      <w:t>Registered Charity Numbers 1164009 (England &amp; Wales), SC047256 (Scotland)</w:t>
    </w:r>
    <w:r>
      <w:rPr>
        <w:rFonts w:ascii="Aptos" w:hAnsi="Aptos"/>
        <w:sz w:val="20"/>
        <w:szCs w:val="20"/>
      </w:rPr>
      <w:tab/>
    </w:r>
  </w:p>
  <w:p w14:paraId="7967C4D3" w14:textId="77777777" w:rsidR="00C2523C" w:rsidRPr="00C2523C" w:rsidRDefault="00C2523C" w:rsidP="00C2523C">
    <w:pPr>
      <w:spacing w:line="200" w:lineRule="auto"/>
      <w:rPr>
        <w:rFonts w:ascii="Aptos" w:eastAsia="Aptos" w:hAnsi="Aptos" w:cs="Aptos"/>
        <w:i/>
        <w:iCs/>
        <w:sz w:val="20"/>
        <w:szCs w:val="20"/>
      </w:rPr>
    </w:pPr>
  </w:p>
  <w:p w14:paraId="5FBCEC8C" w14:textId="1176109B" w:rsidR="00374D10" w:rsidRPr="00C2523C" w:rsidRDefault="00000000" w:rsidP="00C2523C">
    <w:pPr>
      <w:spacing w:line="200" w:lineRule="auto"/>
      <w:rPr>
        <w:rFonts w:ascii="Aptos" w:eastAsia="Aptos" w:hAnsi="Aptos" w:cs="Aptos"/>
        <w:i/>
        <w:iCs/>
        <w:sz w:val="20"/>
        <w:szCs w:val="20"/>
      </w:rPr>
    </w:pPr>
    <w:r w:rsidRPr="00C2523C">
      <w:rPr>
        <w:rFonts w:ascii="Aptos" w:eastAsia="Aptos" w:hAnsi="Aptos" w:cs="Aptos"/>
        <w:i/>
        <w:iCs/>
        <w:sz w:val="20"/>
        <w:szCs w:val="20"/>
      </w:rPr>
      <w:t>APEL Reflective Account Form</w:t>
    </w:r>
    <w:r w:rsidR="00C2523C" w:rsidRPr="00C2523C">
      <w:rPr>
        <w:rFonts w:ascii="Aptos" w:eastAsia="Aptos" w:hAnsi="Aptos" w:cs="Aptos"/>
        <w:i/>
        <w:iCs/>
        <w:sz w:val="20"/>
        <w:szCs w:val="20"/>
      </w:rPr>
      <w:t xml:space="preserve"> CAB 17 November 2025 (V2)</w:t>
    </w:r>
  </w:p>
  <w:p w14:paraId="7CCC863A" w14:textId="77777777" w:rsidR="00C2523C" w:rsidRDefault="00C252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EFAED" w14:textId="77777777" w:rsidR="00372D8E" w:rsidRDefault="00372D8E">
      <w:r>
        <w:separator/>
      </w:r>
    </w:p>
  </w:footnote>
  <w:footnote w:type="continuationSeparator" w:id="0">
    <w:p w14:paraId="26F9D29B" w14:textId="77777777" w:rsidR="00372D8E" w:rsidRDefault="00372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F6450" w14:textId="77777777" w:rsidR="00374D10" w:rsidRDefault="00374D1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3AF45" w14:textId="77777777" w:rsidR="00374D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820"/>
      </w:tabs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882344"/>
    <w:multiLevelType w:val="multilevel"/>
    <w:tmpl w:val="204ECF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86355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D10"/>
    <w:rsid w:val="003628C0"/>
    <w:rsid w:val="00372D8E"/>
    <w:rsid w:val="00374D10"/>
    <w:rsid w:val="00C2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8558CB"/>
  <w15:docId w15:val="{C000B68A-C45E-3741-9AFB-B25AA4624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5D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B75D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75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75D4"/>
  </w:style>
  <w:style w:type="paragraph" w:styleId="Footer">
    <w:name w:val="footer"/>
    <w:basedOn w:val="Normal"/>
    <w:link w:val="FooterChar"/>
    <w:uiPriority w:val="99"/>
    <w:unhideWhenUsed/>
    <w:rsid w:val="008B75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5D4"/>
  </w:style>
  <w:style w:type="paragraph" w:customStyle="1" w:styleId="NoParagraphStyle">
    <w:name w:val="[No Paragraph Style]"/>
    <w:rsid w:val="008B75D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table" w:styleId="TableGrid">
    <w:name w:val="Table Grid"/>
    <w:basedOn w:val="TableNormal"/>
    <w:uiPriority w:val="59"/>
    <w:rsid w:val="008B7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ParagraphStyle"/>
    <w:uiPriority w:val="99"/>
    <w:rsid w:val="008B75D4"/>
  </w:style>
  <w:style w:type="character" w:customStyle="1" w:styleId="NMCWhite">
    <w:name w:val="NMC White"/>
    <w:uiPriority w:val="99"/>
    <w:rsid w:val="008B75D4"/>
    <w:rPr>
      <w:rFonts w:ascii="FoundryMonoline-ExtraBold" w:hAnsi="FoundryMonoline-ExtraBold" w:cs="FoundryMonoline-ExtraBold"/>
      <w:color w:val="FFFFFF"/>
    </w:rPr>
  </w:style>
  <w:style w:type="paragraph" w:styleId="ListParagraph">
    <w:name w:val="List Paragraph"/>
    <w:basedOn w:val="Normal"/>
    <w:uiPriority w:val="34"/>
    <w:qFormat/>
    <w:rsid w:val="00095EE4"/>
    <w:pPr>
      <w:widowControl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NMCTeal">
    <w:name w:val="NMC Teal"/>
    <w:uiPriority w:val="99"/>
    <w:rsid w:val="000D7F7A"/>
    <w:rPr>
      <w:rFonts w:ascii="FoundryMonoline-ExtraBold" w:hAnsi="FoundryMonoline-ExtraBold" w:cs="FoundryMonoline-ExtraBold"/>
      <w:color w:val="00AEC4"/>
    </w:rPr>
  </w:style>
  <w:style w:type="character" w:styleId="Strong">
    <w:name w:val="Strong"/>
    <w:basedOn w:val="DefaultParagraphFont"/>
    <w:uiPriority w:val="22"/>
    <w:qFormat/>
    <w:rsid w:val="00AA52A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91948"/>
    <w:rPr>
      <w:rFonts w:ascii="Times New Roman" w:hAnsi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C25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l5MYJhR/zHIqX3KV797YOs+ApQ==">CgMxLjA4AGoiChRzdWdnZXN0LndvYXRseDMxcmw3NxIKVmFsIEhhcnZleWoiChRzdWdnZXN0LnU0ajRnbTFtcmF1OBIKVmFsIEhhcnZleWoiChRzdWdnZXN0LmwwNmR6bXdtcGVjMRIKVmFsIEhhcnZleXIhMVZtTlh0TE1vczcyWUNhN0NkTEJIcTBwRndwZDRaeUst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NMC</dc:creator>
  <cp:lastModifiedBy>Helen Wilson</cp:lastModifiedBy>
  <cp:revision>2</cp:revision>
  <dcterms:created xsi:type="dcterms:W3CDTF">2025-08-01T16:21:00Z</dcterms:created>
  <dcterms:modified xsi:type="dcterms:W3CDTF">2025-11-17T15:31:00Z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0x010100D960118D3A668E43AA04EE24AA2E08C1</vt:lpwstr>
  </property>
</Properties>
</file>